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D7" w:rsidRDefault="00CF71D7" w:rsidP="00CF71D7">
      <w:pPr>
        <w:widowControl w:val="0"/>
        <w:spacing w:line="240" w:lineRule="auto"/>
        <w:ind w:left="17" w:right="8176"/>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Күні/ </w:t>
      </w:r>
      <w:r w:rsidR="001466D6">
        <w:rPr>
          <w:rFonts w:ascii="Times New Roman" w:eastAsia="Times New Roman" w:hAnsi="Times New Roman" w:cs="Times New Roman"/>
          <w:color w:val="000000"/>
          <w:sz w:val="23"/>
          <w:szCs w:val="23"/>
        </w:rPr>
        <w:t xml:space="preserve">Дата </w:t>
      </w:r>
      <w:r w:rsidR="00C401C6">
        <w:rPr>
          <w:rFonts w:ascii="Times New Roman" w:eastAsia="Times New Roman" w:hAnsi="Times New Roman" w:cs="Times New Roman"/>
          <w:color w:val="000000"/>
          <w:sz w:val="23"/>
          <w:szCs w:val="23"/>
        </w:rPr>
        <w:t>18.06.2019</w:t>
      </w:r>
      <w:bookmarkStart w:id="0" w:name="_GoBack"/>
      <w:bookmarkEnd w:id="0"/>
      <w:r w:rsidR="001466D6">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Мөрдің орны/</w:t>
      </w:r>
    </w:p>
    <w:p w:rsidR="001F65F2" w:rsidRPr="00CF71D7" w:rsidRDefault="001466D6" w:rsidP="00CF71D7">
      <w:pPr>
        <w:widowControl w:val="0"/>
        <w:spacing w:line="240" w:lineRule="auto"/>
        <w:ind w:left="17" w:right="8176"/>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ст</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пе</w:t>
      </w:r>
      <w:r>
        <w:rPr>
          <w:rFonts w:ascii="Times New Roman" w:eastAsia="Times New Roman" w:hAnsi="Times New Roman" w:cs="Times New Roman"/>
          <w:color w:val="000000"/>
          <w:sz w:val="23"/>
          <w:szCs w:val="23"/>
        </w:rPr>
        <w:t>ч</w:t>
      </w:r>
      <w:r>
        <w:rPr>
          <w:rFonts w:ascii="Times New Roman" w:eastAsia="Times New Roman" w:hAnsi="Times New Roman" w:cs="Times New Roman"/>
          <w:color w:val="000000"/>
          <w:spacing w:val="1"/>
          <w:sz w:val="23"/>
          <w:szCs w:val="23"/>
        </w:rPr>
        <w:t>ат</w:t>
      </w:r>
      <w:r>
        <w:rPr>
          <w:rFonts w:ascii="Times New Roman" w:eastAsia="Times New Roman" w:hAnsi="Times New Roman" w:cs="Times New Roman"/>
          <w:color w:val="000000"/>
          <w:sz w:val="23"/>
          <w:szCs w:val="23"/>
        </w:rPr>
        <w:t>и</w:t>
      </w:r>
    </w:p>
    <w:p w:rsidR="001F65F2" w:rsidRDefault="001F65F2">
      <w:pPr>
        <w:spacing w:line="240" w:lineRule="exact"/>
        <w:rPr>
          <w:rFonts w:ascii="Times New Roman" w:eastAsia="Times New Roman" w:hAnsi="Times New Roman" w:cs="Times New Roman"/>
          <w:sz w:val="24"/>
          <w:szCs w:val="24"/>
        </w:rPr>
      </w:pPr>
    </w:p>
    <w:p w:rsidR="001F65F2" w:rsidRDefault="001F65F2">
      <w:pPr>
        <w:spacing w:after="11" w:line="240" w:lineRule="exact"/>
        <w:rPr>
          <w:rFonts w:ascii="Times New Roman" w:eastAsia="Times New Roman" w:hAnsi="Times New Roman" w:cs="Times New Roman"/>
          <w:sz w:val="24"/>
          <w:szCs w:val="24"/>
        </w:rPr>
      </w:pPr>
    </w:p>
    <w:p w:rsidR="001F65F2" w:rsidRDefault="001F65F2">
      <w:pPr>
        <w:sectPr w:rsidR="001F65F2">
          <w:type w:val="continuous"/>
          <w:pgSz w:w="11905" w:h="16837"/>
          <w:pgMar w:top="563" w:right="850" w:bottom="1134" w:left="1133" w:header="0" w:footer="0" w:gutter="0"/>
          <w:cols w:space="708"/>
        </w:sectPr>
      </w:pPr>
    </w:p>
    <w:p w:rsidR="001F65F2" w:rsidRDefault="001466D6">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1F65F2" w:rsidRDefault="001466D6">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1F65F2" w:rsidRDefault="001F65F2">
      <w:pPr>
        <w:sectPr w:rsidR="001F65F2">
          <w:type w:val="continuous"/>
          <w:pgSz w:w="11905" w:h="16837"/>
          <w:pgMar w:top="563" w:right="850" w:bottom="1134" w:left="1133" w:header="0" w:footer="0" w:gutter="0"/>
          <w:cols w:num="2" w:space="708" w:equalWidth="0">
            <w:col w:w="3804" w:space="1943"/>
            <w:col w:w="4175" w:space="0"/>
          </w:cols>
        </w:sectPr>
      </w:pPr>
    </w:p>
    <w:p w:rsidR="001F65F2" w:rsidRDefault="001F65F2">
      <w:pPr>
        <w:spacing w:after="16" w:line="140" w:lineRule="exact"/>
        <w:rPr>
          <w:sz w:val="14"/>
          <w:szCs w:val="14"/>
        </w:rPr>
      </w:pPr>
    </w:p>
    <w:p w:rsidR="001F65F2" w:rsidRDefault="001F65F2">
      <w:pPr>
        <w:spacing w:line="240" w:lineRule="exact"/>
        <w:rPr>
          <w:rFonts w:ascii="Times New Roman" w:eastAsia="Times New Roman" w:hAnsi="Times New Roman" w:cs="Times New Roman"/>
          <w:b/>
          <w:bCs/>
          <w:color w:val="000000"/>
          <w:spacing w:val="6"/>
          <w:w w:val="103"/>
          <w:sz w:val="26"/>
          <w:szCs w:val="26"/>
          <w:lang w:val="kk-KZ"/>
        </w:rPr>
      </w:pPr>
    </w:p>
    <w:p w:rsidR="00CF71D7" w:rsidRDefault="00CF71D7">
      <w:pPr>
        <w:spacing w:line="240" w:lineRule="exact"/>
        <w:rPr>
          <w:rFonts w:ascii="Times New Roman" w:eastAsia="Times New Roman" w:hAnsi="Times New Roman" w:cs="Times New Roman"/>
          <w:b/>
          <w:bCs/>
          <w:color w:val="000000"/>
          <w:spacing w:val="6"/>
          <w:w w:val="103"/>
          <w:sz w:val="26"/>
          <w:szCs w:val="26"/>
          <w:lang w:val="kk-KZ"/>
        </w:rPr>
      </w:pPr>
    </w:p>
    <w:p w:rsidR="00CF71D7" w:rsidRPr="00CF71D7" w:rsidRDefault="00CF71D7" w:rsidP="00CF71D7">
      <w:pPr>
        <w:spacing w:line="276" w:lineRule="auto"/>
        <w:jc w:val="center"/>
        <w:rPr>
          <w:rFonts w:ascii="Times New Roman" w:eastAsia="Times New Roman" w:hAnsi="Times New Roman" w:cs="Times New Roman"/>
          <w:b/>
          <w:bCs/>
          <w:color w:val="000000"/>
          <w:spacing w:val="6"/>
          <w:w w:val="103"/>
          <w:sz w:val="26"/>
          <w:szCs w:val="26"/>
          <w:lang w:val="kk-KZ"/>
        </w:rPr>
      </w:pPr>
      <w:r w:rsidRPr="00CF71D7">
        <w:rPr>
          <w:rFonts w:ascii="Times New Roman" w:eastAsia="Times New Roman" w:hAnsi="Times New Roman" w:cs="Times New Roman"/>
          <w:b/>
          <w:bCs/>
          <w:color w:val="000000"/>
          <w:spacing w:val="6"/>
          <w:w w:val="103"/>
          <w:sz w:val="26"/>
          <w:szCs w:val="26"/>
          <w:lang w:val="kk-KZ"/>
        </w:rPr>
        <w:t>Дәрілік препараттың</w:t>
      </w:r>
    </w:p>
    <w:p w:rsidR="00CF71D7" w:rsidRPr="00CF71D7" w:rsidRDefault="00CF71D7" w:rsidP="00CF71D7">
      <w:pPr>
        <w:spacing w:line="276" w:lineRule="auto"/>
        <w:jc w:val="center"/>
        <w:rPr>
          <w:rFonts w:ascii="Times New Roman" w:eastAsia="Times New Roman" w:hAnsi="Times New Roman" w:cs="Times New Roman"/>
          <w:b/>
          <w:bCs/>
          <w:color w:val="000000"/>
          <w:spacing w:val="6"/>
          <w:w w:val="103"/>
          <w:sz w:val="26"/>
          <w:szCs w:val="26"/>
          <w:lang w:val="kk-KZ"/>
        </w:rPr>
      </w:pPr>
      <w:r w:rsidRPr="00CF71D7">
        <w:rPr>
          <w:rFonts w:ascii="Times New Roman" w:eastAsia="Times New Roman" w:hAnsi="Times New Roman" w:cs="Times New Roman"/>
          <w:b/>
          <w:bCs/>
          <w:color w:val="000000"/>
          <w:spacing w:val="6"/>
          <w:w w:val="103"/>
          <w:sz w:val="26"/>
          <w:szCs w:val="26"/>
          <w:lang w:val="kk-KZ"/>
        </w:rPr>
        <w:t>қауіпсіздігі, тиімділігі және сапасы бойынша</w:t>
      </w:r>
    </w:p>
    <w:p w:rsidR="00CF71D7" w:rsidRDefault="00CF71D7" w:rsidP="00CF71D7">
      <w:pPr>
        <w:spacing w:line="276" w:lineRule="auto"/>
        <w:jc w:val="center"/>
        <w:rPr>
          <w:rFonts w:ascii="Times New Roman" w:eastAsia="Times New Roman" w:hAnsi="Times New Roman" w:cs="Times New Roman"/>
          <w:b/>
          <w:bCs/>
          <w:color w:val="000000"/>
          <w:spacing w:val="6"/>
          <w:w w:val="103"/>
          <w:sz w:val="26"/>
          <w:szCs w:val="26"/>
          <w:lang w:val="kk-KZ"/>
        </w:rPr>
      </w:pPr>
      <w:r w:rsidRPr="00CF71D7">
        <w:rPr>
          <w:rFonts w:ascii="Times New Roman" w:eastAsia="Times New Roman" w:hAnsi="Times New Roman" w:cs="Times New Roman"/>
          <w:b/>
          <w:bCs/>
          <w:color w:val="000000"/>
          <w:spacing w:val="6"/>
          <w:w w:val="103"/>
          <w:sz w:val="26"/>
          <w:szCs w:val="26"/>
          <w:lang w:val="kk-KZ"/>
        </w:rPr>
        <w:t>жиынтық есеп</w:t>
      </w:r>
    </w:p>
    <w:p w:rsidR="00CF71D7" w:rsidRPr="00CF71D7" w:rsidRDefault="00CF71D7">
      <w:pPr>
        <w:spacing w:line="240" w:lineRule="exact"/>
        <w:rPr>
          <w:rFonts w:ascii="Times New Roman" w:eastAsia="Times New Roman" w:hAnsi="Times New Roman" w:cs="Times New Roman"/>
          <w:w w:val="103"/>
          <w:sz w:val="24"/>
          <w:szCs w:val="24"/>
          <w:lang w:val="kk-KZ"/>
        </w:rPr>
      </w:pPr>
    </w:p>
    <w:p w:rsidR="001F65F2" w:rsidRPr="00CF71D7" w:rsidRDefault="001F65F2">
      <w:pPr>
        <w:spacing w:line="240" w:lineRule="exact"/>
        <w:rPr>
          <w:rFonts w:ascii="Times New Roman" w:eastAsia="Times New Roman" w:hAnsi="Times New Roman" w:cs="Times New Roman"/>
          <w:w w:val="103"/>
          <w:sz w:val="24"/>
          <w:szCs w:val="24"/>
          <w:lang w:val="kk-KZ"/>
        </w:rPr>
      </w:pPr>
    </w:p>
    <w:p w:rsidR="001F65F2" w:rsidRPr="00CF71D7" w:rsidRDefault="001F65F2">
      <w:pPr>
        <w:spacing w:line="240" w:lineRule="exact"/>
        <w:rPr>
          <w:rFonts w:ascii="Times New Roman" w:eastAsia="Times New Roman" w:hAnsi="Times New Roman" w:cs="Times New Roman"/>
          <w:w w:val="103"/>
          <w:sz w:val="24"/>
          <w:szCs w:val="24"/>
          <w:lang w:val="kk-KZ"/>
        </w:rPr>
      </w:pPr>
    </w:p>
    <w:p w:rsidR="001F65F2" w:rsidRPr="00CF71D7" w:rsidRDefault="001F65F2">
      <w:pPr>
        <w:spacing w:line="240" w:lineRule="exact"/>
        <w:rPr>
          <w:rFonts w:ascii="Times New Roman" w:eastAsia="Times New Roman" w:hAnsi="Times New Roman" w:cs="Times New Roman"/>
          <w:w w:val="103"/>
          <w:sz w:val="24"/>
          <w:szCs w:val="24"/>
          <w:lang w:val="kk-KZ"/>
        </w:rPr>
      </w:pPr>
    </w:p>
    <w:p w:rsidR="001F65F2" w:rsidRPr="00CF71D7" w:rsidRDefault="001F65F2">
      <w:pPr>
        <w:spacing w:line="240" w:lineRule="exact"/>
        <w:rPr>
          <w:rFonts w:ascii="Times New Roman" w:eastAsia="Times New Roman" w:hAnsi="Times New Roman" w:cs="Times New Roman"/>
          <w:w w:val="103"/>
          <w:sz w:val="24"/>
          <w:szCs w:val="24"/>
          <w:lang w:val="kk-KZ"/>
        </w:rPr>
      </w:pPr>
    </w:p>
    <w:p w:rsidR="001F65F2" w:rsidRPr="00CF71D7" w:rsidRDefault="001F65F2">
      <w:pPr>
        <w:spacing w:line="240" w:lineRule="exact"/>
        <w:rPr>
          <w:rFonts w:ascii="Times New Roman" w:eastAsia="Times New Roman" w:hAnsi="Times New Roman" w:cs="Times New Roman"/>
          <w:w w:val="103"/>
          <w:sz w:val="24"/>
          <w:szCs w:val="24"/>
          <w:lang w:val="kk-KZ"/>
        </w:rPr>
      </w:pPr>
    </w:p>
    <w:p w:rsidR="001F65F2" w:rsidRPr="00CF71D7" w:rsidRDefault="001F65F2">
      <w:pPr>
        <w:spacing w:line="240" w:lineRule="exact"/>
        <w:rPr>
          <w:rFonts w:ascii="Times New Roman" w:eastAsia="Times New Roman" w:hAnsi="Times New Roman" w:cs="Times New Roman"/>
          <w:w w:val="103"/>
          <w:sz w:val="24"/>
          <w:szCs w:val="24"/>
          <w:lang w:val="kk-KZ"/>
        </w:rPr>
      </w:pPr>
    </w:p>
    <w:p w:rsidR="001F65F2" w:rsidRPr="00CF71D7" w:rsidRDefault="001F65F2">
      <w:pPr>
        <w:spacing w:after="14" w:line="140" w:lineRule="exact"/>
        <w:rPr>
          <w:rFonts w:ascii="Times New Roman" w:eastAsia="Times New Roman" w:hAnsi="Times New Roman" w:cs="Times New Roman"/>
          <w:w w:val="103"/>
          <w:sz w:val="14"/>
          <w:szCs w:val="14"/>
          <w:lang w:val="kk-KZ"/>
        </w:rPr>
      </w:pPr>
    </w:p>
    <w:p w:rsidR="001F65F2" w:rsidRPr="00CF71D7" w:rsidRDefault="001466D6">
      <w:pPr>
        <w:widowControl w:val="0"/>
        <w:spacing w:line="240" w:lineRule="auto"/>
        <w:ind w:left="1962" w:right="-20"/>
        <w:rPr>
          <w:rFonts w:ascii="Times New Roman" w:eastAsia="Times New Roman" w:hAnsi="Times New Roman" w:cs="Times New Roman"/>
          <w:color w:val="000000"/>
          <w:w w:val="103"/>
          <w:sz w:val="26"/>
          <w:szCs w:val="26"/>
          <w:lang w:val="kk-KZ"/>
        </w:rPr>
      </w:pPr>
      <w:r>
        <w:rPr>
          <w:noProof/>
        </w:rPr>
        <mc:AlternateContent>
          <mc:Choice Requires="wps">
            <w:drawing>
              <wp:anchor distT="0" distB="0" distL="114300" distR="114300" simplePos="0" relativeHeight="705" behindDoc="1" locked="0" layoutInCell="0" allowOverlap="1">
                <wp:simplePos x="0" y="0"/>
                <wp:positionH relativeFrom="page">
                  <wp:posOffset>719962</wp:posOffset>
                </wp:positionH>
                <wp:positionV relativeFrom="paragraph">
                  <wp:posOffset>-966756</wp:posOffset>
                </wp:positionV>
                <wp:extent cx="6264021" cy="969390"/>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969390"/>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1F65F2" w:rsidTr="00CF71D7">
                              <w:trPr>
                                <w:cantSplit/>
                                <w:trHeight w:hRule="exact" w:val="719"/>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1466D6">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им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ов</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л</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ве</w:t>
                                  </w:r>
                                  <w:r>
                                    <w:rPr>
                                      <w:rFonts w:ascii="Times New Roman" w:eastAsia="Times New Roman" w:hAnsi="Times New Roman" w:cs="Times New Roman"/>
                                      <w:color w:val="000000"/>
                                      <w:spacing w:val="3"/>
                                      <w:sz w:val="23"/>
                                      <w:szCs w:val="23"/>
                                    </w:rPr>
                                    <w:t>нн</w:t>
                                  </w:r>
                                  <w:r>
                                    <w:rPr>
                                      <w:rFonts w:ascii="Times New Roman" w:eastAsia="Times New Roman" w:hAnsi="Times New Roman" w:cs="Times New Roman"/>
                                      <w:color w:val="000000"/>
                                      <w:spacing w:val="2"/>
                                      <w:sz w:val="23"/>
                                      <w:szCs w:val="23"/>
                                    </w:rPr>
                                    <w:t>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пре</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арат</w:t>
                                  </w:r>
                                  <w:r>
                                    <w:rPr>
                                      <w:rFonts w:ascii="Times New Roman" w:eastAsia="Times New Roman" w:hAnsi="Times New Roman" w:cs="Times New Roman"/>
                                      <w:color w:val="000000"/>
                                      <w:sz w:val="23"/>
                                      <w:szCs w:val="23"/>
                                    </w:rPr>
                                    <w:t>а</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CF71D7" w:rsidRDefault="001466D6" w:rsidP="00CF71D7">
                                  <w:pPr>
                                    <w:widowControl w:val="0"/>
                                    <w:spacing w:before="16" w:line="240" w:lineRule="auto"/>
                                    <w:ind w:left="60" w:right="509"/>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rPr>
                                    <w:t>РОТАВА</w:t>
                                  </w:r>
                                  <w:r>
                                    <w:rPr>
                                      <w:rFonts w:ascii="Times New Roman" w:eastAsia="Times New Roman" w:hAnsi="Times New Roman" w:cs="Times New Roman"/>
                                      <w:color w:val="000000"/>
                                      <w:sz w:val="23"/>
                                      <w:szCs w:val="23"/>
                                    </w:rPr>
                                    <w:t>К</w:t>
                                  </w:r>
                                  <w:r w:rsidR="00CF71D7">
                                    <w:rPr>
                                      <w:rFonts w:ascii="Times New Roman" w:eastAsia="Times New Roman" w:hAnsi="Times New Roman" w:cs="Times New Roman"/>
                                      <w:color w:val="000000"/>
                                      <w:sz w:val="23"/>
                                      <w:szCs w:val="23"/>
                                      <w:lang w:val="kk-KZ"/>
                                    </w:rPr>
                                    <w:t xml:space="preserve"> </w:t>
                                  </w:r>
                                  <w:proofErr w:type="spellStart"/>
                                  <w:r>
                                    <w:rPr>
                                      <w:rFonts w:ascii="Times New Roman" w:eastAsia="Times New Roman" w:hAnsi="Times New Roman" w:cs="Times New Roman"/>
                                      <w:color w:val="000000"/>
                                      <w:spacing w:val="3"/>
                                      <w:sz w:val="23"/>
                                      <w:szCs w:val="23"/>
                                    </w:rPr>
                                    <w:t>рото</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2"/>
                                      <w:sz w:val="23"/>
                                      <w:szCs w:val="23"/>
                                    </w:rPr>
                                    <w:t>р</w:t>
                                  </w:r>
                                  <w:r w:rsidR="00CF71D7">
                                    <w:rPr>
                                      <w:rFonts w:ascii="Times New Roman" w:eastAsia="Times New Roman" w:hAnsi="Times New Roman" w:cs="Times New Roman"/>
                                      <w:color w:val="000000"/>
                                      <w:spacing w:val="3"/>
                                      <w:sz w:val="23"/>
                                      <w:szCs w:val="23"/>
                                    </w:rPr>
                                    <w:t>ус</w:t>
                                  </w:r>
                                  <w:proofErr w:type="spellEnd"/>
                                  <w:r w:rsidR="00CF71D7">
                                    <w:rPr>
                                      <w:rFonts w:ascii="Times New Roman" w:eastAsia="Times New Roman" w:hAnsi="Times New Roman" w:cs="Times New Roman"/>
                                      <w:color w:val="000000"/>
                                      <w:spacing w:val="3"/>
                                      <w:sz w:val="23"/>
                                      <w:szCs w:val="23"/>
                                      <w:lang w:val="kk-KZ"/>
                                    </w:rPr>
                                    <w:t>ты</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6"/>
                                      <w:sz w:val="23"/>
                                      <w:szCs w:val="23"/>
                                    </w:rPr>
                                    <w:t>н</w:t>
                                  </w:r>
                                  <w:r>
                                    <w:rPr>
                                      <w:rFonts w:ascii="Times New Roman" w:eastAsia="Times New Roman" w:hAnsi="Times New Roman" w:cs="Times New Roman"/>
                                      <w:color w:val="000000"/>
                                      <w:spacing w:val="7"/>
                                      <w:sz w:val="23"/>
                                      <w:szCs w:val="23"/>
                                    </w:rPr>
                                    <w:t>ф</w:t>
                                  </w:r>
                                  <w:r>
                                    <w:rPr>
                                      <w:rFonts w:ascii="Times New Roman" w:eastAsia="Times New Roman" w:hAnsi="Times New Roman" w:cs="Times New Roman"/>
                                      <w:color w:val="000000"/>
                                      <w:spacing w:val="5"/>
                                      <w:sz w:val="23"/>
                                      <w:szCs w:val="23"/>
                                    </w:rPr>
                                    <w:t>ек</w:t>
                                  </w:r>
                                  <w:r>
                                    <w:rPr>
                                      <w:rFonts w:ascii="Times New Roman" w:eastAsia="Times New Roman" w:hAnsi="Times New Roman" w:cs="Times New Roman"/>
                                      <w:color w:val="000000"/>
                                      <w:spacing w:val="6"/>
                                      <w:sz w:val="23"/>
                                      <w:szCs w:val="23"/>
                                    </w:rPr>
                                    <w:t>ци</w:t>
                                  </w:r>
                                  <w:proofErr w:type="spellEnd"/>
                                  <w:r w:rsidR="00CF71D7">
                                    <w:rPr>
                                      <w:rFonts w:ascii="Times New Roman" w:eastAsia="Times New Roman" w:hAnsi="Times New Roman" w:cs="Times New Roman"/>
                                      <w:color w:val="000000"/>
                                      <w:sz w:val="23"/>
                                      <w:szCs w:val="23"/>
                                      <w:lang w:val="kk-KZ"/>
                                    </w:rPr>
                                    <w:t>яға арналған а</w:t>
                                  </w:r>
                                  <w:r w:rsidR="00CF71D7" w:rsidRPr="00CF71D7">
                                    <w:rPr>
                                      <w:rFonts w:ascii="Times New Roman" w:eastAsia="Times New Roman" w:hAnsi="Times New Roman" w:cs="Times New Roman"/>
                                      <w:color w:val="000000"/>
                                      <w:sz w:val="23"/>
                                      <w:szCs w:val="23"/>
                                      <w:lang w:val="kk-KZ"/>
                                    </w:rPr>
                                    <w:t>дамның ротовирустық моновалентті аттенуирленген ті</w:t>
                                  </w:r>
                                  <w:proofErr w:type="gramStart"/>
                                  <w:r w:rsidR="00CF71D7" w:rsidRPr="00CF71D7">
                                    <w:rPr>
                                      <w:rFonts w:ascii="Times New Roman" w:eastAsia="Times New Roman" w:hAnsi="Times New Roman" w:cs="Times New Roman"/>
                                      <w:color w:val="000000"/>
                                      <w:sz w:val="23"/>
                                      <w:szCs w:val="23"/>
                                      <w:lang w:val="kk-KZ"/>
                                    </w:rPr>
                                    <w:t>р</w:t>
                                  </w:r>
                                  <w:proofErr w:type="gramEnd"/>
                                  <w:r w:rsidR="00CF71D7" w:rsidRPr="00CF71D7">
                                    <w:rPr>
                                      <w:rFonts w:ascii="Times New Roman" w:eastAsia="Times New Roman" w:hAnsi="Times New Roman" w:cs="Times New Roman"/>
                                      <w:color w:val="000000"/>
                                      <w:sz w:val="23"/>
                                      <w:szCs w:val="23"/>
                                      <w:lang w:val="kk-KZ"/>
                                    </w:rPr>
                                    <w:t>і вакцинасы</w:t>
                                  </w:r>
                                </w:p>
                              </w:tc>
                            </w:tr>
                            <w:tr w:rsidR="001F65F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CF71D7" w:rsidRDefault="00CF71D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1466D6">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Бха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Би</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2"/>
                                      <w:sz w:val="23"/>
                                      <w:szCs w:val="23"/>
                                    </w:rPr>
                                    <w:t>нтер</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4"/>
                                      <w:sz w:val="23"/>
                                      <w:szCs w:val="23"/>
                                    </w:rPr>
                                    <w:t>ш</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3"/>
                                      <w:sz w:val="23"/>
                                      <w:szCs w:val="23"/>
                                    </w:rPr>
                                    <w:t xml:space="preserve"> Ли</w:t>
                                  </w:r>
                                  <w:r>
                                    <w:rPr>
                                      <w:rFonts w:ascii="Times New Roman" w:eastAsia="Times New Roman" w:hAnsi="Times New Roman" w:cs="Times New Roman"/>
                                      <w:color w:val="000000"/>
                                      <w:spacing w:val="2"/>
                                      <w:sz w:val="23"/>
                                      <w:szCs w:val="23"/>
                                    </w:rPr>
                                    <w:t>мите</w:t>
                                  </w:r>
                                  <w:r>
                                    <w:rPr>
                                      <w:rFonts w:ascii="Times New Roman" w:eastAsia="Times New Roman" w:hAnsi="Times New Roman" w:cs="Times New Roman"/>
                                      <w:color w:val="000000"/>
                                      <w:sz w:val="23"/>
                                      <w:szCs w:val="23"/>
                                    </w:rPr>
                                    <w:t>д</w:t>
                                  </w:r>
                                </w:p>
                              </w:tc>
                            </w:tr>
                            <w:tr w:rsidR="001F65F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CF71D7" w:rsidRDefault="00CF71D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1466D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6"/>
                                      <w:sz w:val="23"/>
                                      <w:szCs w:val="23"/>
                                    </w:rPr>
                                    <w:t>Д</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z w:val="23"/>
                                      <w:szCs w:val="23"/>
                                    </w:rPr>
                                    <w:t>Я</w:t>
                                  </w:r>
                                </w:p>
                              </w:tc>
                            </w:tr>
                          </w:tbl>
                          <w:p w:rsidR="0000737C" w:rsidRDefault="0000737C"/>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76.1pt;width:493.25pt;height:76.35pt;z-index:-50331577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1F65F2" w:rsidTr="00CF71D7">
                        <w:trPr>
                          <w:cantSplit/>
                          <w:trHeight w:hRule="exact" w:val="719"/>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1466D6">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им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ов</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л</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ве</w:t>
                            </w:r>
                            <w:r>
                              <w:rPr>
                                <w:rFonts w:ascii="Times New Roman" w:eastAsia="Times New Roman" w:hAnsi="Times New Roman" w:cs="Times New Roman"/>
                                <w:color w:val="000000"/>
                                <w:spacing w:val="3"/>
                                <w:sz w:val="23"/>
                                <w:szCs w:val="23"/>
                              </w:rPr>
                              <w:t>нн</w:t>
                            </w:r>
                            <w:r>
                              <w:rPr>
                                <w:rFonts w:ascii="Times New Roman" w:eastAsia="Times New Roman" w:hAnsi="Times New Roman" w:cs="Times New Roman"/>
                                <w:color w:val="000000"/>
                                <w:spacing w:val="2"/>
                                <w:sz w:val="23"/>
                                <w:szCs w:val="23"/>
                              </w:rPr>
                              <w:t>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пре</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арат</w:t>
                            </w:r>
                            <w:r>
                              <w:rPr>
                                <w:rFonts w:ascii="Times New Roman" w:eastAsia="Times New Roman" w:hAnsi="Times New Roman" w:cs="Times New Roman"/>
                                <w:color w:val="000000"/>
                                <w:sz w:val="23"/>
                                <w:szCs w:val="23"/>
                              </w:rPr>
                              <w:t>а</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CF71D7" w:rsidRDefault="001466D6" w:rsidP="00CF71D7">
                            <w:pPr>
                              <w:widowControl w:val="0"/>
                              <w:spacing w:before="16" w:line="240" w:lineRule="auto"/>
                              <w:ind w:left="60" w:right="509"/>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rPr>
                              <w:t>РОТАВА</w:t>
                            </w:r>
                            <w:r>
                              <w:rPr>
                                <w:rFonts w:ascii="Times New Roman" w:eastAsia="Times New Roman" w:hAnsi="Times New Roman" w:cs="Times New Roman"/>
                                <w:color w:val="000000"/>
                                <w:sz w:val="23"/>
                                <w:szCs w:val="23"/>
                              </w:rPr>
                              <w:t>К</w:t>
                            </w:r>
                            <w:r w:rsidR="00CF71D7">
                              <w:rPr>
                                <w:rFonts w:ascii="Times New Roman" w:eastAsia="Times New Roman" w:hAnsi="Times New Roman" w:cs="Times New Roman"/>
                                <w:color w:val="000000"/>
                                <w:sz w:val="23"/>
                                <w:szCs w:val="23"/>
                                <w:lang w:val="kk-KZ"/>
                              </w:rPr>
                              <w:t xml:space="preserve"> </w:t>
                            </w:r>
                            <w:proofErr w:type="spellStart"/>
                            <w:r>
                              <w:rPr>
                                <w:rFonts w:ascii="Times New Roman" w:eastAsia="Times New Roman" w:hAnsi="Times New Roman" w:cs="Times New Roman"/>
                                <w:color w:val="000000"/>
                                <w:spacing w:val="3"/>
                                <w:sz w:val="23"/>
                                <w:szCs w:val="23"/>
                              </w:rPr>
                              <w:t>рото</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2"/>
                                <w:sz w:val="23"/>
                                <w:szCs w:val="23"/>
                              </w:rPr>
                              <w:t>р</w:t>
                            </w:r>
                            <w:r w:rsidR="00CF71D7">
                              <w:rPr>
                                <w:rFonts w:ascii="Times New Roman" w:eastAsia="Times New Roman" w:hAnsi="Times New Roman" w:cs="Times New Roman"/>
                                <w:color w:val="000000"/>
                                <w:spacing w:val="3"/>
                                <w:sz w:val="23"/>
                                <w:szCs w:val="23"/>
                              </w:rPr>
                              <w:t>ус</w:t>
                            </w:r>
                            <w:proofErr w:type="spellEnd"/>
                            <w:r w:rsidR="00CF71D7">
                              <w:rPr>
                                <w:rFonts w:ascii="Times New Roman" w:eastAsia="Times New Roman" w:hAnsi="Times New Roman" w:cs="Times New Roman"/>
                                <w:color w:val="000000"/>
                                <w:spacing w:val="3"/>
                                <w:sz w:val="23"/>
                                <w:szCs w:val="23"/>
                                <w:lang w:val="kk-KZ"/>
                              </w:rPr>
                              <w:t>ты</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6"/>
                                <w:sz w:val="23"/>
                                <w:szCs w:val="23"/>
                              </w:rPr>
                              <w:t>н</w:t>
                            </w:r>
                            <w:r>
                              <w:rPr>
                                <w:rFonts w:ascii="Times New Roman" w:eastAsia="Times New Roman" w:hAnsi="Times New Roman" w:cs="Times New Roman"/>
                                <w:color w:val="000000"/>
                                <w:spacing w:val="7"/>
                                <w:sz w:val="23"/>
                                <w:szCs w:val="23"/>
                              </w:rPr>
                              <w:t>ф</w:t>
                            </w:r>
                            <w:r>
                              <w:rPr>
                                <w:rFonts w:ascii="Times New Roman" w:eastAsia="Times New Roman" w:hAnsi="Times New Roman" w:cs="Times New Roman"/>
                                <w:color w:val="000000"/>
                                <w:spacing w:val="5"/>
                                <w:sz w:val="23"/>
                                <w:szCs w:val="23"/>
                              </w:rPr>
                              <w:t>ек</w:t>
                            </w:r>
                            <w:r>
                              <w:rPr>
                                <w:rFonts w:ascii="Times New Roman" w:eastAsia="Times New Roman" w:hAnsi="Times New Roman" w:cs="Times New Roman"/>
                                <w:color w:val="000000"/>
                                <w:spacing w:val="6"/>
                                <w:sz w:val="23"/>
                                <w:szCs w:val="23"/>
                              </w:rPr>
                              <w:t>ци</w:t>
                            </w:r>
                            <w:proofErr w:type="spellEnd"/>
                            <w:r w:rsidR="00CF71D7">
                              <w:rPr>
                                <w:rFonts w:ascii="Times New Roman" w:eastAsia="Times New Roman" w:hAnsi="Times New Roman" w:cs="Times New Roman"/>
                                <w:color w:val="000000"/>
                                <w:sz w:val="23"/>
                                <w:szCs w:val="23"/>
                                <w:lang w:val="kk-KZ"/>
                              </w:rPr>
                              <w:t>яға арналған а</w:t>
                            </w:r>
                            <w:r w:rsidR="00CF71D7" w:rsidRPr="00CF71D7">
                              <w:rPr>
                                <w:rFonts w:ascii="Times New Roman" w:eastAsia="Times New Roman" w:hAnsi="Times New Roman" w:cs="Times New Roman"/>
                                <w:color w:val="000000"/>
                                <w:sz w:val="23"/>
                                <w:szCs w:val="23"/>
                                <w:lang w:val="kk-KZ"/>
                              </w:rPr>
                              <w:t>дамның ротовирустық моновалентті аттенуирленген ті</w:t>
                            </w:r>
                            <w:proofErr w:type="gramStart"/>
                            <w:r w:rsidR="00CF71D7" w:rsidRPr="00CF71D7">
                              <w:rPr>
                                <w:rFonts w:ascii="Times New Roman" w:eastAsia="Times New Roman" w:hAnsi="Times New Roman" w:cs="Times New Roman"/>
                                <w:color w:val="000000"/>
                                <w:sz w:val="23"/>
                                <w:szCs w:val="23"/>
                                <w:lang w:val="kk-KZ"/>
                              </w:rPr>
                              <w:t>р</w:t>
                            </w:r>
                            <w:proofErr w:type="gramEnd"/>
                            <w:r w:rsidR="00CF71D7" w:rsidRPr="00CF71D7">
                              <w:rPr>
                                <w:rFonts w:ascii="Times New Roman" w:eastAsia="Times New Roman" w:hAnsi="Times New Roman" w:cs="Times New Roman"/>
                                <w:color w:val="000000"/>
                                <w:sz w:val="23"/>
                                <w:szCs w:val="23"/>
                                <w:lang w:val="kk-KZ"/>
                              </w:rPr>
                              <w:t>і вакцинасы</w:t>
                            </w:r>
                          </w:p>
                        </w:tc>
                      </w:tr>
                      <w:tr w:rsidR="001F65F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CF71D7" w:rsidRDefault="00CF71D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1466D6">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Бха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Би</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2"/>
                                <w:sz w:val="23"/>
                                <w:szCs w:val="23"/>
                              </w:rPr>
                              <w:t>нтер</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4"/>
                                <w:sz w:val="23"/>
                                <w:szCs w:val="23"/>
                              </w:rPr>
                              <w:t>ш</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3"/>
                                <w:sz w:val="23"/>
                                <w:szCs w:val="23"/>
                              </w:rPr>
                              <w:t xml:space="preserve"> Ли</w:t>
                            </w:r>
                            <w:r>
                              <w:rPr>
                                <w:rFonts w:ascii="Times New Roman" w:eastAsia="Times New Roman" w:hAnsi="Times New Roman" w:cs="Times New Roman"/>
                                <w:color w:val="000000"/>
                                <w:spacing w:val="2"/>
                                <w:sz w:val="23"/>
                                <w:szCs w:val="23"/>
                              </w:rPr>
                              <w:t>мите</w:t>
                            </w:r>
                            <w:r>
                              <w:rPr>
                                <w:rFonts w:ascii="Times New Roman" w:eastAsia="Times New Roman" w:hAnsi="Times New Roman" w:cs="Times New Roman"/>
                                <w:color w:val="000000"/>
                                <w:sz w:val="23"/>
                                <w:szCs w:val="23"/>
                              </w:rPr>
                              <w:t>д</w:t>
                            </w:r>
                          </w:p>
                        </w:tc>
                      </w:tr>
                      <w:tr w:rsidR="001F65F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CF71D7" w:rsidRDefault="00CF71D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1466D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6"/>
                                <w:sz w:val="23"/>
                                <w:szCs w:val="23"/>
                              </w:rPr>
                              <w:t>Д</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z w:val="23"/>
                                <w:szCs w:val="23"/>
                              </w:rPr>
                              <w:t>Я</w:t>
                            </w:r>
                          </w:p>
                        </w:tc>
                      </w:tr>
                    </w:tbl>
                    <w:p w:rsidR="0000737C" w:rsidRDefault="0000737C"/>
                  </w:txbxContent>
                </v:textbox>
                <w10:wrap anchorx="page"/>
              </v:shape>
            </w:pict>
          </mc:Fallback>
        </mc:AlternateContent>
      </w:r>
      <w:r w:rsidR="00CF71D7">
        <w:rPr>
          <w:rFonts w:ascii="Times New Roman" w:eastAsia="Times New Roman" w:hAnsi="Times New Roman" w:cs="Times New Roman"/>
          <w:color w:val="000000"/>
          <w:spacing w:val="4"/>
          <w:w w:val="103"/>
          <w:sz w:val="26"/>
          <w:szCs w:val="26"/>
          <w:lang w:val="kk-KZ"/>
        </w:rPr>
        <w:t xml:space="preserve"> Есептен құпия ақпарат алып тасталды </w:t>
      </w:r>
    </w:p>
    <w:p w:rsidR="001F65F2" w:rsidRPr="00CF71D7" w:rsidRDefault="001F65F2">
      <w:pPr>
        <w:spacing w:line="240" w:lineRule="exact"/>
        <w:rPr>
          <w:rFonts w:ascii="Times New Roman" w:eastAsia="Times New Roman" w:hAnsi="Times New Roman" w:cs="Times New Roman"/>
          <w:w w:val="103"/>
          <w:sz w:val="24"/>
          <w:szCs w:val="24"/>
          <w:lang w:val="kk-KZ"/>
        </w:rPr>
      </w:pPr>
    </w:p>
    <w:p w:rsidR="001F65F2" w:rsidRPr="00CF71D7" w:rsidRDefault="001F65F2">
      <w:pPr>
        <w:spacing w:after="1" w:line="140" w:lineRule="exact"/>
        <w:rPr>
          <w:rFonts w:ascii="Times New Roman" w:eastAsia="Times New Roman" w:hAnsi="Times New Roman" w:cs="Times New Roman"/>
          <w:w w:val="103"/>
          <w:sz w:val="14"/>
          <w:szCs w:val="14"/>
          <w:lang w:val="kk-KZ"/>
        </w:rPr>
      </w:pPr>
    </w:p>
    <w:p w:rsidR="001F65F2" w:rsidRPr="00CF71D7" w:rsidRDefault="001466D6">
      <w:pPr>
        <w:widowControl w:val="0"/>
        <w:spacing w:line="240" w:lineRule="auto"/>
        <w:ind w:left="2567" w:right="-20"/>
        <w:rPr>
          <w:rFonts w:ascii="Times New Roman" w:eastAsia="Times New Roman" w:hAnsi="Times New Roman" w:cs="Times New Roman"/>
          <w:color w:val="000000"/>
          <w:w w:val="103"/>
          <w:sz w:val="26"/>
          <w:szCs w:val="26"/>
          <w:lang w:val="kk-KZ"/>
        </w:rPr>
      </w:pPr>
      <w:r w:rsidRPr="00CF71D7">
        <w:rPr>
          <w:rFonts w:ascii="Times New Roman" w:eastAsia="Times New Roman" w:hAnsi="Times New Roman" w:cs="Times New Roman"/>
          <w:color w:val="000000"/>
          <w:spacing w:val="-4"/>
          <w:w w:val="103"/>
          <w:sz w:val="26"/>
          <w:szCs w:val="26"/>
          <w:lang w:val="kk-KZ"/>
        </w:rPr>
        <w:t>1</w:t>
      </w:r>
      <w:r w:rsidRPr="00CF71D7">
        <w:rPr>
          <w:rFonts w:ascii="Times New Roman" w:eastAsia="Times New Roman" w:hAnsi="Times New Roman" w:cs="Times New Roman"/>
          <w:color w:val="000000"/>
          <w:w w:val="103"/>
          <w:sz w:val="26"/>
          <w:szCs w:val="26"/>
          <w:lang w:val="kk-KZ"/>
        </w:rPr>
        <w:t>.</w:t>
      </w:r>
      <w:r w:rsidRPr="00CF71D7">
        <w:rPr>
          <w:rFonts w:ascii="Times New Roman" w:eastAsia="Times New Roman" w:hAnsi="Times New Roman" w:cs="Times New Roman"/>
          <w:color w:val="000000"/>
          <w:spacing w:val="11"/>
          <w:sz w:val="26"/>
          <w:szCs w:val="26"/>
          <w:lang w:val="kk-KZ"/>
        </w:rPr>
        <w:t xml:space="preserve"> </w:t>
      </w:r>
      <w:r w:rsidR="00CF71D7">
        <w:rPr>
          <w:rFonts w:ascii="Times New Roman" w:eastAsia="Times New Roman" w:hAnsi="Times New Roman" w:cs="Times New Roman"/>
          <w:color w:val="000000"/>
          <w:spacing w:val="6"/>
          <w:w w:val="103"/>
          <w:sz w:val="26"/>
          <w:szCs w:val="26"/>
          <w:lang w:val="kk-KZ"/>
        </w:rPr>
        <w:t>Рәсім туралы анықтамалық ақпарат</w:t>
      </w:r>
    </w:p>
    <w:p w:rsidR="001F65F2" w:rsidRPr="00CF71D7" w:rsidRDefault="001F65F2">
      <w:pPr>
        <w:spacing w:after="5" w:line="140" w:lineRule="exact"/>
        <w:rPr>
          <w:rFonts w:ascii="Times New Roman" w:eastAsia="Times New Roman" w:hAnsi="Times New Roman" w:cs="Times New Roman"/>
          <w:w w:val="103"/>
          <w:sz w:val="14"/>
          <w:szCs w:val="14"/>
          <w:lang w:val="kk-KZ"/>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1F65F2">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1466D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CF71D7" w:rsidP="00CF71D7">
            <w:pPr>
              <w:widowControl w:val="0"/>
              <w:spacing w:before="3" w:line="240" w:lineRule="auto"/>
              <w:ind w:left="60" w:right="203"/>
              <w:rPr>
                <w:rFonts w:ascii="Times New Roman" w:eastAsia="Times New Roman" w:hAnsi="Times New Roman" w:cs="Times New Roman"/>
                <w:color w:val="000000"/>
                <w:sz w:val="23"/>
                <w:szCs w:val="23"/>
              </w:rPr>
            </w:pPr>
            <w:proofErr w:type="spellStart"/>
            <w:r w:rsidRPr="00CF71D7">
              <w:rPr>
                <w:rFonts w:ascii="Times New Roman" w:eastAsia="Times New Roman" w:hAnsi="Times New Roman" w:cs="Times New Roman"/>
                <w:color w:val="000000"/>
                <w:sz w:val="23"/>
                <w:szCs w:val="23"/>
              </w:rPr>
              <w:t>Мемлекеттік</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тіркеу</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кезінде</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дә</w:t>
            </w:r>
            <w:proofErr w:type="gramStart"/>
            <w:r w:rsidRPr="00CF71D7">
              <w:rPr>
                <w:rFonts w:ascii="Times New Roman" w:eastAsia="Times New Roman" w:hAnsi="Times New Roman" w:cs="Times New Roman"/>
                <w:color w:val="000000"/>
                <w:sz w:val="23"/>
                <w:szCs w:val="23"/>
              </w:rPr>
              <w:t>р</w:t>
            </w:r>
            <w:proofErr w:type="gramEnd"/>
            <w:r w:rsidRPr="00CF71D7">
              <w:rPr>
                <w:rFonts w:ascii="Times New Roman" w:eastAsia="Times New Roman" w:hAnsi="Times New Roman" w:cs="Times New Roman"/>
                <w:color w:val="000000"/>
                <w:sz w:val="23"/>
                <w:szCs w:val="23"/>
              </w:rPr>
              <w:t>ілік</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затқа</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сараптама</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жүргізуге</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тіркеу</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құжаттарының</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жиынтығын</w:t>
            </w:r>
            <w:proofErr w:type="spellEnd"/>
            <w:r w:rsidRPr="00CF71D7">
              <w:rPr>
                <w:rFonts w:ascii="Times New Roman" w:eastAsia="Times New Roman" w:hAnsi="Times New Roman" w:cs="Times New Roman"/>
                <w:color w:val="000000"/>
                <w:sz w:val="23"/>
                <w:szCs w:val="23"/>
              </w:rPr>
              <w:t xml:space="preserve"> беру</w:t>
            </w:r>
          </w:p>
        </w:tc>
      </w:tr>
    </w:tbl>
    <w:p w:rsidR="001F65F2" w:rsidRDefault="001F65F2">
      <w:pPr>
        <w:spacing w:after="3" w:line="220" w:lineRule="exact"/>
      </w:pPr>
    </w:p>
    <w:p w:rsidR="001F65F2" w:rsidRPr="00CF71D7" w:rsidRDefault="001466D6">
      <w:pPr>
        <w:widowControl w:val="0"/>
        <w:spacing w:line="240" w:lineRule="auto"/>
        <w:ind w:left="3546" w:right="-20"/>
        <w:rPr>
          <w:rFonts w:ascii="Times New Roman" w:eastAsia="Times New Roman" w:hAnsi="Times New Roman" w:cs="Times New Roman"/>
          <w:color w:val="000000"/>
          <w:w w:val="103"/>
          <w:sz w:val="26"/>
          <w:szCs w:val="26"/>
          <w:lang w:val="kk-KZ"/>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CF71D7">
        <w:rPr>
          <w:rFonts w:ascii="Times New Roman" w:eastAsia="Times New Roman" w:hAnsi="Times New Roman" w:cs="Times New Roman"/>
          <w:color w:val="000000"/>
          <w:spacing w:val="6"/>
          <w:w w:val="103"/>
          <w:sz w:val="26"/>
          <w:szCs w:val="26"/>
          <w:lang w:val="kk-KZ"/>
        </w:rPr>
        <w:t>Ғылыми талқылау</w:t>
      </w:r>
    </w:p>
    <w:p w:rsidR="001F65F2" w:rsidRDefault="001F65F2">
      <w:pPr>
        <w:spacing w:line="33"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1F65F2">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1466D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CF71D7" w:rsidRDefault="00CF71D7" w:rsidP="00CF71D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Сапа а</w:t>
            </w:r>
            <w:proofErr w:type="spellStart"/>
            <w:r w:rsidR="001466D6">
              <w:rPr>
                <w:rFonts w:ascii="Times New Roman" w:eastAsia="Times New Roman" w:hAnsi="Times New Roman" w:cs="Times New Roman"/>
                <w:color w:val="000000"/>
                <w:spacing w:val="2"/>
                <w:sz w:val="23"/>
                <w:szCs w:val="23"/>
              </w:rPr>
              <w:t>с</w:t>
            </w:r>
            <w:r w:rsidR="001466D6">
              <w:rPr>
                <w:rFonts w:ascii="Times New Roman" w:eastAsia="Times New Roman" w:hAnsi="Times New Roman" w:cs="Times New Roman"/>
                <w:color w:val="000000"/>
                <w:spacing w:val="3"/>
                <w:sz w:val="23"/>
                <w:szCs w:val="23"/>
              </w:rPr>
              <w:t>п</w:t>
            </w:r>
            <w:r w:rsidR="001466D6">
              <w:rPr>
                <w:rFonts w:ascii="Times New Roman" w:eastAsia="Times New Roman" w:hAnsi="Times New Roman" w:cs="Times New Roman"/>
                <w:color w:val="000000"/>
                <w:spacing w:val="2"/>
                <w:sz w:val="23"/>
                <w:szCs w:val="23"/>
              </w:rPr>
              <w:t>е</w:t>
            </w:r>
            <w:r w:rsidR="001466D6">
              <w:rPr>
                <w:rFonts w:ascii="Times New Roman" w:eastAsia="Times New Roman" w:hAnsi="Times New Roman" w:cs="Times New Roman"/>
                <w:color w:val="000000"/>
                <w:spacing w:val="3"/>
                <w:sz w:val="23"/>
                <w:szCs w:val="23"/>
              </w:rPr>
              <w:t>к</w:t>
            </w:r>
            <w:r w:rsidR="001466D6">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z w:val="23"/>
                <w:szCs w:val="23"/>
                <w:lang w:val="kk-KZ"/>
              </w:rPr>
              <w:t>ілері</w:t>
            </w:r>
          </w:p>
        </w:tc>
      </w:tr>
      <w:tr w:rsidR="001F65F2" w:rsidTr="002A2550">
        <w:trPr>
          <w:cantSplit/>
          <w:trHeight w:hRule="exact" w:val="483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after="17" w:line="200" w:lineRule="exact"/>
              <w:rPr>
                <w:sz w:val="20"/>
                <w:szCs w:val="20"/>
              </w:rPr>
            </w:pPr>
          </w:p>
          <w:p w:rsidR="001F65F2" w:rsidRDefault="001466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CF71D7">
            <w:pPr>
              <w:widowControl w:val="0"/>
              <w:spacing w:before="3" w:line="240" w:lineRule="auto"/>
              <w:ind w:left="60" w:right="-7"/>
              <w:rPr>
                <w:rFonts w:ascii="Times New Roman" w:eastAsia="Times New Roman" w:hAnsi="Times New Roman" w:cs="Times New Roman"/>
                <w:color w:val="000000"/>
                <w:sz w:val="23"/>
                <w:szCs w:val="23"/>
              </w:rPr>
            </w:pPr>
            <w:proofErr w:type="spellStart"/>
            <w:r w:rsidRPr="00CF71D7">
              <w:rPr>
                <w:rFonts w:ascii="Times New Roman" w:eastAsia="Times New Roman" w:hAnsi="Times New Roman" w:cs="Times New Roman"/>
                <w:color w:val="000000"/>
                <w:sz w:val="23"/>
                <w:szCs w:val="23"/>
              </w:rPr>
              <w:t>Белсенді</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фармацевтикалық</w:t>
            </w:r>
            <w:proofErr w:type="spellEnd"/>
            <w:r w:rsidRPr="00CF71D7">
              <w:rPr>
                <w:rFonts w:ascii="Times New Roman" w:eastAsia="Times New Roman" w:hAnsi="Times New Roman" w:cs="Times New Roman"/>
                <w:color w:val="000000"/>
                <w:sz w:val="23"/>
                <w:szCs w:val="23"/>
              </w:rPr>
              <w:t xml:space="preserve"> субстанция: </w:t>
            </w:r>
            <w:proofErr w:type="spellStart"/>
            <w:r w:rsidRPr="00CF71D7">
              <w:rPr>
                <w:rFonts w:ascii="Times New Roman" w:eastAsia="Times New Roman" w:hAnsi="Times New Roman" w:cs="Times New Roman"/>
                <w:color w:val="000000"/>
                <w:sz w:val="23"/>
                <w:szCs w:val="23"/>
              </w:rPr>
              <w:t>субстанцияның</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шығу</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тегі</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сапасы</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жөніндегі</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мәлімдемелерге</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және</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пайдалану</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мүмкіндігі</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жөніндегі</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қ</w:t>
            </w:r>
            <w:proofErr w:type="gramStart"/>
            <w:r w:rsidRPr="00CF71D7">
              <w:rPr>
                <w:rFonts w:ascii="Times New Roman" w:eastAsia="Times New Roman" w:hAnsi="Times New Roman" w:cs="Times New Roman"/>
                <w:color w:val="000000"/>
                <w:sz w:val="23"/>
                <w:szCs w:val="23"/>
              </w:rPr>
              <w:t>орытындылар</w:t>
            </w:r>
            <w:proofErr w:type="gramEnd"/>
            <w:r w:rsidRPr="00CF71D7">
              <w:rPr>
                <w:rFonts w:ascii="Times New Roman" w:eastAsia="Times New Roman" w:hAnsi="Times New Roman" w:cs="Times New Roman"/>
                <w:color w:val="000000"/>
                <w:sz w:val="23"/>
                <w:szCs w:val="23"/>
              </w:rPr>
              <w:t>ға</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талдау</w:t>
            </w:r>
            <w:proofErr w:type="spellEnd"/>
            <w:r w:rsidRPr="00CF71D7">
              <w:rPr>
                <w:rFonts w:ascii="Times New Roman" w:eastAsia="Times New Roman" w:hAnsi="Times New Roman" w:cs="Times New Roman"/>
                <w:color w:val="000000"/>
                <w:sz w:val="23"/>
                <w:szCs w:val="23"/>
              </w:rPr>
              <w:t xml:space="preserve"> </w:t>
            </w:r>
            <w:proofErr w:type="spellStart"/>
            <w:r w:rsidRPr="00CF71D7">
              <w:rPr>
                <w:rFonts w:ascii="Times New Roman" w:eastAsia="Times New Roman" w:hAnsi="Times New Roman" w:cs="Times New Roman"/>
                <w:color w:val="000000"/>
                <w:sz w:val="23"/>
                <w:szCs w:val="23"/>
              </w:rPr>
              <w:t>жасау</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A2550" w:rsidRPr="002A2550" w:rsidRDefault="002A2550" w:rsidP="002A2550">
            <w:pPr>
              <w:widowControl w:val="0"/>
              <w:spacing w:line="240" w:lineRule="auto"/>
              <w:ind w:left="60" w:right="17" w:firstLine="651"/>
              <w:jc w:val="both"/>
              <w:rPr>
                <w:rFonts w:ascii="Times New Roman" w:eastAsia="Times New Roman" w:hAnsi="Times New Roman" w:cs="Times New Roman"/>
                <w:color w:val="000000"/>
                <w:sz w:val="23"/>
                <w:szCs w:val="23"/>
              </w:rPr>
            </w:pPr>
            <w:proofErr w:type="spellStart"/>
            <w:r w:rsidRPr="002A2550">
              <w:rPr>
                <w:rFonts w:ascii="Times New Roman" w:eastAsia="Times New Roman" w:hAnsi="Times New Roman" w:cs="Times New Roman"/>
                <w:color w:val="000000"/>
                <w:sz w:val="23"/>
                <w:szCs w:val="23"/>
              </w:rPr>
              <w:t>Белсенді</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фармацевтикалық</w:t>
            </w:r>
            <w:proofErr w:type="spellEnd"/>
            <w:r w:rsidRPr="002A2550">
              <w:rPr>
                <w:rFonts w:ascii="Times New Roman" w:eastAsia="Times New Roman" w:hAnsi="Times New Roman" w:cs="Times New Roman"/>
                <w:color w:val="000000"/>
                <w:sz w:val="23"/>
                <w:szCs w:val="23"/>
              </w:rPr>
              <w:t xml:space="preserve"> субстанция </w:t>
            </w:r>
            <w:proofErr w:type="spellStart"/>
            <w:r w:rsidRPr="002A2550">
              <w:rPr>
                <w:rFonts w:ascii="Times New Roman" w:eastAsia="Times New Roman" w:hAnsi="Times New Roman" w:cs="Times New Roman"/>
                <w:color w:val="000000"/>
                <w:sz w:val="23"/>
                <w:szCs w:val="23"/>
              </w:rPr>
              <w:t>ретінде</w:t>
            </w:r>
            <w:proofErr w:type="spellEnd"/>
            <w:r w:rsidRPr="002A2550">
              <w:rPr>
                <w:rFonts w:ascii="Times New Roman" w:eastAsia="Times New Roman" w:hAnsi="Times New Roman" w:cs="Times New Roman"/>
                <w:color w:val="000000"/>
                <w:sz w:val="23"/>
                <w:szCs w:val="23"/>
              </w:rPr>
              <w:t xml:space="preserve"> 116Е </w:t>
            </w:r>
            <w:proofErr w:type="spellStart"/>
            <w:r w:rsidRPr="002A2550">
              <w:rPr>
                <w:rFonts w:ascii="Times New Roman" w:eastAsia="Times New Roman" w:hAnsi="Times New Roman" w:cs="Times New Roman"/>
                <w:color w:val="000000"/>
                <w:sz w:val="23"/>
                <w:szCs w:val="23"/>
              </w:rPr>
              <w:t>ті</w:t>
            </w:r>
            <w:proofErr w:type="gramStart"/>
            <w:r w:rsidRPr="002A2550">
              <w:rPr>
                <w:rFonts w:ascii="Times New Roman" w:eastAsia="Times New Roman" w:hAnsi="Times New Roman" w:cs="Times New Roman"/>
                <w:color w:val="000000"/>
                <w:sz w:val="23"/>
                <w:szCs w:val="23"/>
              </w:rPr>
              <w:t>р</w:t>
            </w:r>
            <w:proofErr w:type="gramEnd"/>
            <w:r w:rsidRPr="002A2550">
              <w:rPr>
                <w:rFonts w:ascii="Times New Roman" w:eastAsia="Times New Roman" w:hAnsi="Times New Roman" w:cs="Times New Roman"/>
                <w:color w:val="000000"/>
                <w:sz w:val="23"/>
                <w:szCs w:val="23"/>
              </w:rPr>
              <w:t>і</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аттенуирленген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ротавирус</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қолданылады</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Бұ</w:t>
            </w:r>
            <w:proofErr w:type="gramStart"/>
            <w:r w:rsidRPr="002A2550">
              <w:rPr>
                <w:rFonts w:ascii="Times New Roman" w:eastAsia="Times New Roman" w:hAnsi="Times New Roman" w:cs="Times New Roman"/>
                <w:color w:val="000000"/>
                <w:sz w:val="23"/>
                <w:szCs w:val="23"/>
              </w:rPr>
              <w:t>л</w:t>
            </w:r>
            <w:proofErr w:type="spellEnd"/>
            <w:proofErr w:type="gramEnd"/>
            <w:r w:rsidRPr="002A2550">
              <w:rPr>
                <w:rFonts w:ascii="Times New Roman" w:eastAsia="Times New Roman" w:hAnsi="Times New Roman" w:cs="Times New Roman"/>
                <w:color w:val="000000"/>
                <w:sz w:val="23"/>
                <w:szCs w:val="23"/>
              </w:rPr>
              <w:t xml:space="preserve"> - </w:t>
            </w:r>
            <w:proofErr w:type="spellStart"/>
            <w:r w:rsidRPr="002A2550">
              <w:rPr>
                <w:rFonts w:ascii="Times New Roman" w:eastAsia="Times New Roman" w:hAnsi="Times New Roman" w:cs="Times New Roman"/>
                <w:color w:val="000000"/>
                <w:sz w:val="23"/>
                <w:szCs w:val="23"/>
              </w:rPr>
              <w:t>Reoviridae</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тұқымдасының</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қостізбекті</w:t>
            </w:r>
            <w:proofErr w:type="spellEnd"/>
            <w:r w:rsidRPr="002A2550">
              <w:rPr>
                <w:rFonts w:ascii="Times New Roman" w:eastAsia="Times New Roman" w:hAnsi="Times New Roman" w:cs="Times New Roman"/>
                <w:color w:val="000000"/>
                <w:sz w:val="23"/>
                <w:szCs w:val="23"/>
              </w:rPr>
              <w:t xml:space="preserve"> РНК вирусы. АТСС </w:t>
            </w:r>
            <w:proofErr w:type="spellStart"/>
            <w:r w:rsidRPr="002A2550">
              <w:rPr>
                <w:rFonts w:ascii="Times New Roman" w:eastAsia="Times New Roman" w:hAnsi="Times New Roman" w:cs="Times New Roman"/>
                <w:color w:val="000000"/>
                <w:sz w:val="23"/>
                <w:szCs w:val="23"/>
              </w:rPr>
              <w:t>топтамасының</w:t>
            </w:r>
            <w:proofErr w:type="spellEnd"/>
            <w:r w:rsidRPr="002A2550">
              <w:rPr>
                <w:rFonts w:ascii="Times New Roman" w:eastAsia="Times New Roman" w:hAnsi="Times New Roman" w:cs="Times New Roman"/>
                <w:color w:val="000000"/>
                <w:sz w:val="23"/>
                <w:szCs w:val="23"/>
              </w:rPr>
              <w:t xml:space="preserve"> 116Е-ротавирус штаммы </w:t>
            </w:r>
            <w:proofErr w:type="spellStart"/>
            <w:r w:rsidRPr="002A2550">
              <w:rPr>
                <w:rFonts w:ascii="Times New Roman" w:eastAsia="Times New Roman" w:hAnsi="Times New Roman" w:cs="Times New Roman"/>
                <w:color w:val="000000"/>
                <w:sz w:val="23"/>
                <w:szCs w:val="23"/>
              </w:rPr>
              <w:t>Ұлттық</w:t>
            </w:r>
            <w:proofErr w:type="spellEnd"/>
            <w:r w:rsidRPr="002A2550">
              <w:rPr>
                <w:rFonts w:ascii="Times New Roman" w:eastAsia="Times New Roman" w:hAnsi="Times New Roman" w:cs="Times New Roman"/>
                <w:color w:val="000000"/>
                <w:sz w:val="23"/>
                <w:szCs w:val="23"/>
              </w:rPr>
              <w:t xml:space="preserve"> аллергия </w:t>
            </w:r>
            <w:proofErr w:type="spellStart"/>
            <w:r w:rsidRPr="002A2550">
              <w:rPr>
                <w:rFonts w:ascii="Times New Roman" w:eastAsia="Times New Roman" w:hAnsi="Times New Roman" w:cs="Times New Roman"/>
                <w:color w:val="000000"/>
                <w:sz w:val="23"/>
                <w:szCs w:val="23"/>
              </w:rPr>
              <w:t>және</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жұқпалы</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аурулар</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институтында</w:t>
            </w:r>
            <w:proofErr w:type="spellEnd"/>
            <w:r w:rsidRPr="002A2550">
              <w:rPr>
                <w:rFonts w:ascii="Times New Roman" w:eastAsia="Times New Roman" w:hAnsi="Times New Roman" w:cs="Times New Roman"/>
                <w:color w:val="000000"/>
                <w:sz w:val="23"/>
                <w:szCs w:val="23"/>
              </w:rPr>
              <w:t xml:space="preserve"> (NIH) </w:t>
            </w:r>
            <w:proofErr w:type="spellStart"/>
            <w:r w:rsidRPr="002A2550">
              <w:rPr>
                <w:rFonts w:ascii="Times New Roman" w:eastAsia="Times New Roman" w:hAnsi="Times New Roman" w:cs="Times New Roman"/>
                <w:color w:val="000000"/>
                <w:sz w:val="23"/>
                <w:szCs w:val="23"/>
              </w:rPr>
              <w:t>Bethesda</w:t>
            </w:r>
            <w:proofErr w:type="spellEnd"/>
            <w:r w:rsidRPr="002A2550">
              <w:rPr>
                <w:rFonts w:ascii="Times New Roman" w:eastAsia="Times New Roman" w:hAnsi="Times New Roman" w:cs="Times New Roman"/>
                <w:color w:val="000000"/>
                <w:sz w:val="23"/>
                <w:szCs w:val="23"/>
              </w:rPr>
              <w:t>, MD, АҚ</w:t>
            </w:r>
            <w:proofErr w:type="gramStart"/>
            <w:r w:rsidRPr="002A2550">
              <w:rPr>
                <w:rFonts w:ascii="Times New Roman" w:eastAsia="Times New Roman" w:hAnsi="Times New Roman" w:cs="Times New Roman"/>
                <w:color w:val="000000"/>
                <w:sz w:val="23"/>
                <w:szCs w:val="23"/>
              </w:rPr>
              <w:t>Ш</w:t>
            </w:r>
            <w:proofErr w:type="gram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сатып</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алынған</w:t>
            </w:r>
            <w:proofErr w:type="spellEnd"/>
            <w:r w:rsidRPr="002A2550">
              <w:rPr>
                <w:rFonts w:ascii="Times New Roman" w:eastAsia="Times New Roman" w:hAnsi="Times New Roman" w:cs="Times New Roman"/>
                <w:color w:val="000000"/>
                <w:sz w:val="23"/>
                <w:szCs w:val="23"/>
              </w:rPr>
              <w:t>.</w:t>
            </w:r>
          </w:p>
          <w:p w:rsidR="002A2550" w:rsidRPr="002A2550" w:rsidRDefault="002A2550" w:rsidP="002A2550">
            <w:pPr>
              <w:widowControl w:val="0"/>
              <w:spacing w:line="240" w:lineRule="auto"/>
              <w:ind w:left="60" w:right="17" w:firstLine="651"/>
              <w:jc w:val="both"/>
              <w:rPr>
                <w:rFonts w:ascii="Times New Roman" w:eastAsia="Times New Roman" w:hAnsi="Times New Roman" w:cs="Times New Roman"/>
                <w:color w:val="000000"/>
                <w:sz w:val="23"/>
                <w:szCs w:val="23"/>
              </w:rPr>
            </w:pPr>
            <w:proofErr w:type="spellStart"/>
            <w:r w:rsidRPr="002A2550">
              <w:rPr>
                <w:rFonts w:ascii="Times New Roman" w:eastAsia="Times New Roman" w:hAnsi="Times New Roman" w:cs="Times New Roman"/>
                <w:color w:val="000000"/>
                <w:sz w:val="23"/>
                <w:szCs w:val="23"/>
              </w:rPr>
              <w:t>Вакциналарды</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өндіруге</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арналған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жасушалық</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желіні</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таңдау</w:t>
            </w:r>
            <w:proofErr w:type="spellEnd"/>
            <w:r w:rsidRPr="002A2550">
              <w:rPr>
                <w:rFonts w:ascii="Times New Roman" w:eastAsia="Times New Roman" w:hAnsi="Times New Roman" w:cs="Times New Roman"/>
                <w:color w:val="000000"/>
                <w:sz w:val="23"/>
                <w:szCs w:val="23"/>
              </w:rPr>
              <w:t xml:space="preserve"> TRS ДДСҰ </w:t>
            </w:r>
            <w:proofErr w:type="spellStart"/>
            <w:r w:rsidRPr="002A2550">
              <w:rPr>
                <w:rFonts w:ascii="Times New Roman" w:eastAsia="Times New Roman" w:hAnsi="Times New Roman" w:cs="Times New Roman"/>
                <w:color w:val="000000"/>
                <w:sz w:val="23"/>
                <w:szCs w:val="23"/>
              </w:rPr>
              <w:t>басқ</w:t>
            </w:r>
            <w:proofErr w:type="gramStart"/>
            <w:r w:rsidRPr="002A2550">
              <w:rPr>
                <w:rFonts w:ascii="Times New Roman" w:eastAsia="Times New Roman" w:hAnsi="Times New Roman" w:cs="Times New Roman"/>
                <w:color w:val="000000"/>
                <w:sz w:val="23"/>
                <w:szCs w:val="23"/>
              </w:rPr>
              <w:t>арушылы</w:t>
            </w:r>
            <w:proofErr w:type="gramEnd"/>
            <w:r w:rsidRPr="002A2550">
              <w:rPr>
                <w:rFonts w:ascii="Times New Roman" w:eastAsia="Times New Roman" w:hAnsi="Times New Roman" w:cs="Times New Roman"/>
                <w:color w:val="000000"/>
                <w:sz w:val="23"/>
                <w:szCs w:val="23"/>
              </w:rPr>
              <w:t>қ</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қағидаларына</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негізделеді</w:t>
            </w:r>
            <w:proofErr w:type="spellEnd"/>
            <w:r w:rsidRPr="002A2550">
              <w:rPr>
                <w:rFonts w:ascii="Times New Roman" w:eastAsia="Times New Roman" w:hAnsi="Times New Roman" w:cs="Times New Roman"/>
                <w:color w:val="000000"/>
                <w:sz w:val="23"/>
                <w:szCs w:val="23"/>
              </w:rPr>
              <w:t xml:space="preserve">. БФС </w:t>
            </w:r>
            <w:proofErr w:type="spellStart"/>
            <w:r w:rsidRPr="002A2550">
              <w:rPr>
                <w:rFonts w:ascii="Times New Roman" w:eastAsia="Times New Roman" w:hAnsi="Times New Roman" w:cs="Times New Roman"/>
                <w:color w:val="000000"/>
                <w:sz w:val="23"/>
                <w:szCs w:val="23"/>
              </w:rPr>
              <w:t>қасиеттері</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туралы</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ақпарат</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сапаны</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растау</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үшін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жеткілікті</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көлемде</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ұсынылған</w:t>
            </w:r>
            <w:proofErr w:type="spellEnd"/>
            <w:r w:rsidRPr="002A2550">
              <w:rPr>
                <w:rFonts w:ascii="Times New Roman" w:eastAsia="Times New Roman" w:hAnsi="Times New Roman" w:cs="Times New Roman"/>
                <w:color w:val="000000"/>
                <w:sz w:val="23"/>
                <w:szCs w:val="23"/>
              </w:rPr>
              <w:t xml:space="preserve">. </w:t>
            </w:r>
          </w:p>
          <w:p w:rsidR="002A2550" w:rsidRPr="002A2550" w:rsidRDefault="002A2550" w:rsidP="002A2550">
            <w:pPr>
              <w:widowControl w:val="0"/>
              <w:spacing w:line="240" w:lineRule="auto"/>
              <w:ind w:left="60" w:right="17" w:firstLine="651"/>
              <w:jc w:val="both"/>
              <w:rPr>
                <w:rFonts w:ascii="Times New Roman" w:eastAsia="Times New Roman" w:hAnsi="Times New Roman" w:cs="Times New Roman"/>
                <w:color w:val="000000"/>
                <w:sz w:val="23"/>
                <w:szCs w:val="23"/>
              </w:rPr>
            </w:pPr>
            <w:proofErr w:type="spellStart"/>
            <w:r w:rsidRPr="002A2550">
              <w:rPr>
                <w:rFonts w:ascii="Times New Roman" w:eastAsia="Times New Roman" w:hAnsi="Times New Roman" w:cs="Times New Roman"/>
                <w:color w:val="000000"/>
                <w:sz w:val="23"/>
                <w:szCs w:val="23"/>
              </w:rPr>
              <w:t>Үш</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дәйекті</w:t>
            </w:r>
            <w:proofErr w:type="spellEnd"/>
            <w:r w:rsidRPr="002A2550">
              <w:rPr>
                <w:rFonts w:ascii="Times New Roman" w:eastAsia="Times New Roman" w:hAnsi="Times New Roman" w:cs="Times New Roman"/>
                <w:color w:val="000000"/>
                <w:sz w:val="23"/>
                <w:szCs w:val="23"/>
              </w:rPr>
              <w:t xml:space="preserve"> </w:t>
            </w:r>
            <w:proofErr w:type="spellStart"/>
            <w:proofErr w:type="gramStart"/>
            <w:r w:rsidRPr="002A2550">
              <w:rPr>
                <w:rFonts w:ascii="Times New Roman" w:eastAsia="Times New Roman" w:hAnsi="Times New Roman" w:cs="Times New Roman"/>
                <w:color w:val="000000"/>
                <w:sz w:val="23"/>
                <w:szCs w:val="23"/>
              </w:rPr>
              <w:t>серия</w:t>
            </w:r>
            <w:proofErr w:type="gramEnd"/>
            <w:r w:rsidRPr="002A2550">
              <w:rPr>
                <w:rFonts w:ascii="Times New Roman" w:eastAsia="Times New Roman" w:hAnsi="Times New Roman" w:cs="Times New Roman"/>
                <w:color w:val="000000"/>
                <w:sz w:val="23"/>
                <w:szCs w:val="23"/>
              </w:rPr>
              <w:t>ға</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ұсынылған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сертификаттар</w:t>
            </w:r>
            <w:proofErr w:type="spellEnd"/>
            <w:r w:rsidRPr="002A2550">
              <w:rPr>
                <w:rFonts w:ascii="Times New Roman" w:eastAsia="Times New Roman" w:hAnsi="Times New Roman" w:cs="Times New Roman"/>
                <w:color w:val="000000"/>
                <w:sz w:val="23"/>
                <w:szCs w:val="23"/>
              </w:rPr>
              <w:t xml:space="preserve"> сапа </w:t>
            </w:r>
            <w:proofErr w:type="spellStart"/>
            <w:r w:rsidRPr="002A2550">
              <w:rPr>
                <w:rFonts w:ascii="Times New Roman" w:eastAsia="Times New Roman" w:hAnsi="Times New Roman" w:cs="Times New Roman"/>
                <w:color w:val="000000"/>
                <w:sz w:val="23"/>
                <w:szCs w:val="23"/>
              </w:rPr>
              <w:t>тұрақтылығын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және</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өнімнің</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біртектілігі</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сериядан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серияға</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дейін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сақталатынын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және</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үдеріс</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бақылауда</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болатын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дәлелдейді</w:t>
            </w:r>
            <w:proofErr w:type="spellEnd"/>
            <w:r w:rsidRPr="002A2550">
              <w:rPr>
                <w:rFonts w:ascii="Times New Roman" w:eastAsia="Times New Roman" w:hAnsi="Times New Roman" w:cs="Times New Roman"/>
                <w:color w:val="000000"/>
                <w:sz w:val="23"/>
                <w:szCs w:val="23"/>
              </w:rPr>
              <w:t>.</w:t>
            </w:r>
          </w:p>
          <w:p w:rsidR="001F65F2" w:rsidRDefault="002A2550" w:rsidP="002A2550">
            <w:pPr>
              <w:widowControl w:val="0"/>
              <w:spacing w:line="240" w:lineRule="auto"/>
              <w:ind w:left="60" w:right="17" w:firstLine="651"/>
              <w:jc w:val="both"/>
              <w:rPr>
                <w:rFonts w:ascii="Times New Roman" w:eastAsia="Times New Roman" w:hAnsi="Times New Roman" w:cs="Times New Roman"/>
                <w:color w:val="000000"/>
                <w:sz w:val="23"/>
                <w:szCs w:val="23"/>
              </w:rPr>
            </w:pPr>
            <w:proofErr w:type="spellStart"/>
            <w:r w:rsidRPr="002A2550">
              <w:rPr>
                <w:rFonts w:ascii="Times New Roman" w:eastAsia="Times New Roman" w:hAnsi="Times New Roman" w:cs="Times New Roman"/>
                <w:color w:val="000000"/>
                <w:sz w:val="23"/>
                <w:szCs w:val="23"/>
              </w:rPr>
              <w:t>Ұсынылған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деректер</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субстанциялардың</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сапасын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және</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қолданылатын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талдау</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әдістерінің</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барабарлығын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толық</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растайды</w:t>
            </w:r>
            <w:proofErr w:type="spellEnd"/>
            <w:r w:rsidRPr="002A2550">
              <w:rPr>
                <w:rFonts w:ascii="Times New Roman" w:eastAsia="Times New Roman" w:hAnsi="Times New Roman" w:cs="Times New Roman"/>
                <w:color w:val="000000"/>
                <w:sz w:val="23"/>
                <w:szCs w:val="23"/>
              </w:rPr>
              <w:t xml:space="preserve">. БФС </w:t>
            </w:r>
            <w:proofErr w:type="spellStart"/>
            <w:r w:rsidRPr="002A2550">
              <w:rPr>
                <w:rFonts w:ascii="Times New Roman" w:eastAsia="Times New Roman" w:hAnsi="Times New Roman" w:cs="Times New Roman"/>
                <w:color w:val="000000"/>
                <w:sz w:val="23"/>
                <w:szCs w:val="23"/>
              </w:rPr>
              <w:t>дайын</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өнімде</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қ</w:t>
            </w:r>
            <w:proofErr w:type="gramStart"/>
            <w:r w:rsidRPr="002A2550">
              <w:rPr>
                <w:rFonts w:ascii="Times New Roman" w:eastAsia="Times New Roman" w:hAnsi="Times New Roman" w:cs="Times New Roman"/>
                <w:color w:val="000000"/>
                <w:sz w:val="23"/>
                <w:szCs w:val="23"/>
              </w:rPr>
              <w:t>олдану</w:t>
            </w:r>
            <w:proofErr w:type="gramEnd"/>
            <w:r w:rsidRPr="002A2550">
              <w:rPr>
                <w:rFonts w:ascii="Times New Roman" w:eastAsia="Times New Roman" w:hAnsi="Times New Roman" w:cs="Times New Roman"/>
                <w:color w:val="000000"/>
                <w:sz w:val="23"/>
                <w:szCs w:val="23"/>
              </w:rPr>
              <w:t>ға</w:t>
            </w:r>
            <w:proofErr w:type="spellEnd"/>
            <w:r w:rsidRPr="002A2550">
              <w:rPr>
                <w:rFonts w:ascii="Times New Roman" w:eastAsia="Times New Roman" w:hAnsi="Times New Roman" w:cs="Times New Roman"/>
                <w:color w:val="000000"/>
                <w:sz w:val="23"/>
                <w:szCs w:val="23"/>
              </w:rPr>
              <w:t xml:space="preserve"> </w:t>
            </w:r>
            <w:proofErr w:type="spellStart"/>
            <w:r w:rsidRPr="002A2550">
              <w:rPr>
                <w:rFonts w:ascii="Times New Roman" w:eastAsia="Times New Roman" w:hAnsi="Times New Roman" w:cs="Times New Roman"/>
                <w:color w:val="000000"/>
                <w:sz w:val="23"/>
                <w:szCs w:val="23"/>
              </w:rPr>
              <w:t>ұсынылады</w:t>
            </w:r>
            <w:proofErr w:type="spellEnd"/>
            <w:r w:rsidRPr="002A2550">
              <w:rPr>
                <w:rFonts w:ascii="Times New Roman" w:eastAsia="Times New Roman" w:hAnsi="Times New Roman" w:cs="Times New Roman"/>
                <w:color w:val="000000"/>
                <w:sz w:val="23"/>
                <w:szCs w:val="23"/>
              </w:rPr>
              <w:t>.</w:t>
            </w:r>
          </w:p>
        </w:tc>
      </w:tr>
    </w:tbl>
    <w:p w:rsidR="001F65F2" w:rsidRDefault="001F65F2">
      <w:pPr>
        <w:sectPr w:rsidR="001F65F2" w:rsidSect="002A2550">
          <w:type w:val="continuous"/>
          <w:pgSz w:w="11905" w:h="16837"/>
          <w:pgMar w:top="563" w:right="850" w:bottom="993"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1F65F2" w:rsidRPr="00C401C6" w:rsidTr="001D23B4">
        <w:trPr>
          <w:cantSplit/>
          <w:trHeight w:hRule="exact" w:val="483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after="108" w:line="240" w:lineRule="exact"/>
              <w:rPr>
                <w:sz w:val="24"/>
                <w:szCs w:val="24"/>
              </w:rPr>
            </w:pPr>
          </w:p>
          <w:p w:rsidR="001F65F2" w:rsidRDefault="001466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1D23B4" w:rsidRDefault="001D23B4" w:rsidP="001D23B4">
            <w:pPr>
              <w:widowControl w:val="0"/>
              <w:spacing w:before="3" w:line="240" w:lineRule="auto"/>
              <w:ind w:left="60" w:right="15"/>
              <w:rPr>
                <w:rFonts w:ascii="Times New Roman" w:eastAsia="Times New Roman" w:hAnsi="Times New Roman" w:cs="Times New Roman"/>
                <w:color w:val="000000"/>
                <w:sz w:val="23"/>
                <w:szCs w:val="23"/>
                <w:lang w:val="kk-KZ"/>
              </w:rPr>
            </w:pPr>
            <w:r w:rsidRPr="001D23B4">
              <w:rPr>
                <w:rFonts w:ascii="Times New Roman" w:eastAsia="Times New Roman" w:hAnsi="Times New Roman" w:cs="Times New Roman"/>
                <w:color w:val="000000"/>
                <w:sz w:val="23"/>
                <w:szCs w:val="23"/>
                <w:lang w:val="kk-KZ"/>
              </w:rPr>
              <w:t xml:space="preserve">Қосымша заттар: пайдалануға рұқсат етілгені жөнінде қорытындылары бар сапасы, мөлшері жөніндегі мәлімдемелерді талдау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23B4" w:rsidRPr="001D23B4" w:rsidRDefault="001D23B4" w:rsidP="001D23B4">
            <w:pPr>
              <w:widowControl w:val="0"/>
              <w:tabs>
                <w:tab w:val="left" w:pos="1657"/>
                <w:tab w:val="left" w:pos="2209"/>
                <w:tab w:val="left" w:pos="3167"/>
                <w:tab w:val="left" w:pos="3685"/>
                <w:tab w:val="left" w:pos="4708"/>
                <w:tab w:val="left" w:pos="5189"/>
                <w:tab w:val="left" w:pos="5864"/>
              </w:tabs>
              <w:spacing w:line="240" w:lineRule="auto"/>
              <w:ind w:left="60" w:right="16" w:firstLine="638"/>
              <w:jc w:val="both"/>
              <w:rPr>
                <w:rFonts w:ascii="Times New Roman" w:eastAsia="Times New Roman" w:hAnsi="Times New Roman" w:cs="Times New Roman"/>
                <w:color w:val="000000"/>
                <w:sz w:val="23"/>
                <w:szCs w:val="23"/>
                <w:lang w:val="kk-KZ"/>
              </w:rPr>
            </w:pPr>
            <w:r w:rsidRPr="001D23B4">
              <w:rPr>
                <w:rFonts w:ascii="Times New Roman" w:eastAsia="Times New Roman" w:hAnsi="Times New Roman" w:cs="Times New Roman"/>
                <w:color w:val="000000"/>
                <w:sz w:val="23"/>
                <w:szCs w:val="23"/>
                <w:lang w:val="kk-KZ"/>
              </w:rPr>
              <w:t>Қосымша заттар ретінде дәрілік препаратты өндіру кезінде келесі фармакопеялық сападағы эксципиенттер пайдаланылады: калий дигидрофосфаты, калий гидрофосфаты, сахароза, калий глутаматы, неомицин сульфаты, канамицин сульфаты, инъекцияға арналған су.</w:t>
            </w:r>
          </w:p>
          <w:p w:rsidR="001D23B4" w:rsidRPr="001D23B4" w:rsidRDefault="001D23B4" w:rsidP="001D23B4">
            <w:pPr>
              <w:widowControl w:val="0"/>
              <w:tabs>
                <w:tab w:val="left" w:pos="1657"/>
                <w:tab w:val="left" w:pos="2209"/>
                <w:tab w:val="left" w:pos="3167"/>
                <w:tab w:val="left" w:pos="3685"/>
                <w:tab w:val="left" w:pos="4708"/>
                <w:tab w:val="left" w:pos="5189"/>
                <w:tab w:val="left" w:pos="5864"/>
              </w:tabs>
              <w:spacing w:line="240" w:lineRule="auto"/>
              <w:ind w:left="60" w:right="16" w:firstLine="638"/>
              <w:jc w:val="both"/>
              <w:rPr>
                <w:rFonts w:ascii="Times New Roman" w:eastAsia="Times New Roman" w:hAnsi="Times New Roman" w:cs="Times New Roman"/>
                <w:color w:val="000000"/>
                <w:sz w:val="23"/>
                <w:szCs w:val="23"/>
                <w:lang w:val="kk-KZ"/>
              </w:rPr>
            </w:pPr>
            <w:r w:rsidRPr="001D23B4">
              <w:rPr>
                <w:rFonts w:ascii="Times New Roman" w:eastAsia="Times New Roman" w:hAnsi="Times New Roman" w:cs="Times New Roman"/>
                <w:color w:val="000000"/>
                <w:sz w:val="23"/>
                <w:szCs w:val="23"/>
                <w:lang w:val="kk-KZ"/>
              </w:rPr>
              <w:t>Препарат құрамында Қазақстан Республикасында пайдалануға тыйым салынатын қосымша заттар жоқ; бояғыштар, адам немесе жануардың текті қосымша заттар пайдаланылмайды.</w:t>
            </w:r>
          </w:p>
          <w:p w:rsidR="001D23B4" w:rsidRPr="001D23B4" w:rsidRDefault="001D23B4" w:rsidP="001D23B4">
            <w:pPr>
              <w:widowControl w:val="0"/>
              <w:tabs>
                <w:tab w:val="left" w:pos="1657"/>
                <w:tab w:val="left" w:pos="2209"/>
                <w:tab w:val="left" w:pos="3167"/>
                <w:tab w:val="left" w:pos="3685"/>
                <w:tab w:val="left" w:pos="4708"/>
                <w:tab w:val="left" w:pos="5189"/>
                <w:tab w:val="left" w:pos="5864"/>
              </w:tabs>
              <w:spacing w:line="240" w:lineRule="auto"/>
              <w:ind w:left="60" w:right="16" w:firstLine="638"/>
              <w:jc w:val="both"/>
              <w:rPr>
                <w:rFonts w:ascii="Times New Roman" w:eastAsia="Times New Roman" w:hAnsi="Times New Roman" w:cs="Times New Roman"/>
                <w:color w:val="000000"/>
                <w:sz w:val="23"/>
                <w:szCs w:val="23"/>
                <w:lang w:val="kk-KZ"/>
              </w:rPr>
            </w:pPr>
            <w:r w:rsidRPr="001D23B4">
              <w:rPr>
                <w:rFonts w:ascii="Times New Roman" w:eastAsia="Times New Roman" w:hAnsi="Times New Roman" w:cs="Times New Roman"/>
                <w:color w:val="000000"/>
                <w:sz w:val="23"/>
                <w:szCs w:val="23"/>
                <w:lang w:val="kk-KZ"/>
              </w:rPr>
              <w:t xml:space="preserve">Барлық қосымша заттардың сапасы фармакопеялық талаптарға сәйкес келеді, бұл әр зат үшін талдау сертификаттарымен расталған (USP 39, БФ 2017). </w:t>
            </w:r>
          </w:p>
          <w:p w:rsidR="001F65F2" w:rsidRPr="00C401C6" w:rsidRDefault="001D23B4" w:rsidP="001D23B4">
            <w:pPr>
              <w:widowControl w:val="0"/>
              <w:tabs>
                <w:tab w:val="left" w:pos="1657"/>
                <w:tab w:val="left" w:pos="2209"/>
                <w:tab w:val="left" w:pos="3167"/>
                <w:tab w:val="left" w:pos="3685"/>
                <w:tab w:val="left" w:pos="4708"/>
                <w:tab w:val="left" w:pos="5189"/>
                <w:tab w:val="left" w:pos="5864"/>
              </w:tabs>
              <w:spacing w:line="240" w:lineRule="auto"/>
              <w:ind w:left="60" w:right="16" w:firstLine="638"/>
              <w:jc w:val="both"/>
              <w:rPr>
                <w:rFonts w:ascii="Times New Roman" w:eastAsia="Times New Roman" w:hAnsi="Times New Roman" w:cs="Times New Roman"/>
                <w:color w:val="000000"/>
                <w:sz w:val="23"/>
                <w:szCs w:val="23"/>
                <w:lang w:val="kk-KZ"/>
              </w:rPr>
            </w:pPr>
            <w:r w:rsidRPr="00C401C6">
              <w:rPr>
                <w:rFonts w:ascii="Times New Roman" w:eastAsia="Times New Roman" w:hAnsi="Times New Roman" w:cs="Times New Roman"/>
                <w:color w:val="000000"/>
                <w:sz w:val="23"/>
                <w:szCs w:val="23"/>
                <w:lang w:val="kk-KZ"/>
              </w:rPr>
              <w:t xml:space="preserve">Құрамы жүргізілген фармацевтикалық талдама барысында таңдап алынды, таңдау әрбір заттың функциональді тағайындалуына сай негізделген, компоненттердің үйлесімділігі тұрақтылығын зерттеу жөніндегі деректермен айғақталды.  </w:t>
            </w:r>
          </w:p>
        </w:tc>
      </w:tr>
      <w:tr w:rsidR="001F65F2">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1F65F2" w:rsidRDefault="001466D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70214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1466D6">
              <w:rPr>
                <w:rFonts w:ascii="Times New Roman" w:eastAsia="Times New Roman" w:hAnsi="Times New Roman" w:cs="Times New Roman"/>
                <w:color w:val="000000"/>
                <w:spacing w:val="2"/>
                <w:sz w:val="23"/>
                <w:szCs w:val="23"/>
              </w:rPr>
              <w:t>препа</w:t>
            </w:r>
            <w:r w:rsidR="001466D6">
              <w:rPr>
                <w:rFonts w:ascii="Times New Roman" w:eastAsia="Times New Roman" w:hAnsi="Times New Roman" w:cs="Times New Roman"/>
                <w:color w:val="000000"/>
                <w:spacing w:val="3"/>
                <w:sz w:val="23"/>
                <w:szCs w:val="23"/>
              </w:rPr>
              <w:t>р</w:t>
            </w:r>
            <w:r w:rsidR="001466D6">
              <w:rPr>
                <w:rFonts w:ascii="Times New Roman" w:eastAsia="Times New Roman" w:hAnsi="Times New Roman" w:cs="Times New Roman"/>
                <w:color w:val="000000"/>
                <w:spacing w:val="1"/>
                <w:sz w:val="23"/>
                <w:szCs w:val="23"/>
              </w:rPr>
              <w:t>а</w:t>
            </w:r>
            <w:r w:rsidR="001466D6">
              <w:rPr>
                <w:rFonts w:ascii="Times New Roman" w:eastAsia="Times New Roman" w:hAnsi="Times New Roman" w:cs="Times New Roman"/>
                <w:color w:val="000000"/>
                <w:sz w:val="23"/>
                <w:szCs w:val="23"/>
              </w:rPr>
              <w:t>т</w:t>
            </w:r>
          </w:p>
        </w:tc>
      </w:tr>
      <w:tr w:rsidR="001F65F2" w:rsidRPr="00C401C6">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1F65F2" w:rsidRDefault="001F65F2"/>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8000B1" w:rsidRDefault="008000B1">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C77" w:rsidRDefault="00510A96">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lang w:val="kk-KZ"/>
              </w:rPr>
            </w:pPr>
            <w:r w:rsidRPr="00510A96">
              <w:rPr>
                <w:rFonts w:ascii="Times New Roman" w:eastAsia="Times New Roman" w:hAnsi="Times New Roman" w:cs="Times New Roman"/>
                <w:color w:val="000000"/>
                <w:sz w:val="23"/>
                <w:szCs w:val="23"/>
                <w:lang w:val="kk-KZ"/>
              </w:rPr>
              <w:t xml:space="preserve">Өндіріс процесінің толық сипаттамасы және GMP талаптарына жауап беретін өндіріс процесін бақылау ұсынылған. </w:t>
            </w:r>
          </w:p>
          <w:p w:rsidR="001F65F2" w:rsidRPr="00510A96" w:rsidRDefault="00510A96">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lang w:val="kk-KZ"/>
              </w:rPr>
            </w:pPr>
            <w:r w:rsidRPr="00510A96">
              <w:rPr>
                <w:rFonts w:ascii="Times New Roman" w:eastAsia="Times New Roman" w:hAnsi="Times New Roman" w:cs="Times New Roman"/>
                <w:color w:val="000000"/>
                <w:sz w:val="23"/>
                <w:szCs w:val="23"/>
                <w:lang w:val="kk-KZ"/>
              </w:rPr>
              <w:t>Валидациялық сынақтар нәтижелері өндіріс процесі тұрақты екенін және барлық параметрлері бойынша дайын өнімге қойылатын ерекшелік талаптарына жауап беретін сериядан серияға дейін өнімдерді алуға мүмкіндік береді.</w:t>
            </w:r>
          </w:p>
        </w:tc>
      </w:tr>
      <w:tr w:rsidR="001F65F2" w:rsidRPr="00C401C6">
        <w:trPr>
          <w:cantSplit/>
          <w:trHeight w:hRule="exact" w:val="3639"/>
        </w:trPr>
        <w:tc>
          <w:tcPr>
            <w:tcW w:w="680" w:type="dxa"/>
            <w:vMerge/>
            <w:tcBorders>
              <w:left w:val="single" w:sz="4" w:space="0" w:color="000000"/>
              <w:right w:val="single" w:sz="4" w:space="0" w:color="000000"/>
            </w:tcBorders>
            <w:tcMar>
              <w:top w:w="0" w:type="dxa"/>
              <w:left w:w="0" w:type="dxa"/>
              <w:bottom w:w="0" w:type="dxa"/>
              <w:right w:w="0" w:type="dxa"/>
            </w:tcMar>
          </w:tcPr>
          <w:p w:rsidR="001F65F2" w:rsidRPr="00510A96" w:rsidRDefault="001F65F2">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1466D6" w:rsidP="00E2727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С</w:t>
            </w:r>
            <w:r w:rsidR="00E27279">
              <w:rPr>
                <w:rFonts w:ascii="Times New Roman" w:eastAsia="Times New Roman" w:hAnsi="Times New Roman" w:cs="Times New Roman"/>
                <w:color w:val="000000"/>
                <w:spacing w:val="4"/>
                <w:sz w:val="23"/>
                <w:szCs w:val="23"/>
                <w:lang w:val="kk-KZ"/>
              </w:rPr>
              <w:t>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sidR="00E27279">
              <w:rPr>
                <w:rFonts w:ascii="Times New Roman" w:eastAsia="Times New Roman" w:hAnsi="Times New Roman" w:cs="Times New Roman"/>
                <w:color w:val="000000"/>
                <w:sz w:val="23"/>
                <w:szCs w:val="23"/>
                <w:lang w:val="kk-KZ"/>
              </w:rPr>
              <w:t>сы</w:t>
            </w:r>
            <w:r>
              <w:rPr>
                <w:rFonts w:ascii="Times New Roman" w:eastAsia="Times New Roman" w:hAnsi="Times New Roman" w:cs="Times New Roman"/>
                <w:color w:val="000000"/>
                <w:spacing w:val="4"/>
                <w:sz w:val="23"/>
                <w:szCs w:val="23"/>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C77" w:rsidRPr="003A4C77" w:rsidRDefault="003A4C77" w:rsidP="003A4C77">
            <w:pPr>
              <w:widowControl w:val="0"/>
              <w:tabs>
                <w:tab w:val="left" w:pos="2109"/>
                <w:tab w:val="left" w:pos="2727"/>
                <w:tab w:val="left" w:pos="4306"/>
                <w:tab w:val="left" w:pos="4968"/>
                <w:tab w:val="left" w:pos="5351"/>
                <w:tab w:val="left" w:pos="5856"/>
              </w:tabs>
              <w:spacing w:line="240" w:lineRule="auto"/>
              <w:ind w:left="60" w:right="18" w:firstLine="734"/>
              <w:jc w:val="both"/>
              <w:rPr>
                <w:rFonts w:ascii="Times New Roman" w:eastAsia="Times New Roman" w:hAnsi="Times New Roman" w:cs="Times New Roman"/>
                <w:color w:val="000000"/>
                <w:sz w:val="23"/>
                <w:szCs w:val="23"/>
              </w:rPr>
            </w:pPr>
          </w:p>
          <w:p w:rsidR="003A4C77" w:rsidRDefault="003A4C77" w:rsidP="003A4C77">
            <w:pPr>
              <w:widowControl w:val="0"/>
              <w:tabs>
                <w:tab w:val="left" w:pos="2109"/>
                <w:tab w:val="left" w:pos="2727"/>
                <w:tab w:val="left" w:pos="4306"/>
                <w:tab w:val="left" w:pos="4968"/>
                <w:tab w:val="left" w:pos="5351"/>
                <w:tab w:val="left" w:pos="5856"/>
              </w:tabs>
              <w:spacing w:line="240" w:lineRule="auto"/>
              <w:ind w:right="18"/>
              <w:jc w:val="both"/>
              <w:rPr>
                <w:rFonts w:ascii="Times New Roman" w:eastAsia="Times New Roman" w:hAnsi="Times New Roman" w:cs="Times New Roman"/>
                <w:color w:val="000000"/>
                <w:sz w:val="23"/>
                <w:szCs w:val="23"/>
                <w:lang w:val="kk-KZ"/>
              </w:rPr>
            </w:pPr>
            <w:r w:rsidRPr="003A4C77">
              <w:rPr>
                <w:rFonts w:ascii="Times New Roman" w:eastAsia="Times New Roman" w:hAnsi="Times New Roman" w:cs="Times New Roman"/>
                <w:color w:val="000000"/>
                <w:sz w:val="23"/>
                <w:szCs w:val="23"/>
              </w:rPr>
              <w:t xml:space="preserve">ICH Q2, Q6B </w:t>
            </w:r>
            <w:proofErr w:type="spellStart"/>
            <w:r w:rsidRPr="003A4C77">
              <w:rPr>
                <w:rFonts w:ascii="Times New Roman" w:eastAsia="Times New Roman" w:hAnsi="Times New Roman" w:cs="Times New Roman"/>
                <w:color w:val="000000"/>
                <w:sz w:val="23"/>
                <w:szCs w:val="23"/>
              </w:rPr>
              <w:t>нұсқауының</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аясында</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спецификациясына</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ұсынылған</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негіздеме</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препараттың</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сапасын</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және</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қолданылатын</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талдау</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әдістер</w:t>
            </w:r>
            <w:r>
              <w:rPr>
                <w:rFonts w:ascii="Times New Roman" w:eastAsia="Times New Roman" w:hAnsi="Times New Roman" w:cs="Times New Roman"/>
                <w:color w:val="000000"/>
                <w:sz w:val="23"/>
                <w:szCs w:val="23"/>
              </w:rPr>
              <w:t>інің</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адекваттылығын</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дәлелдейді</w:t>
            </w:r>
            <w:proofErr w:type="spellEnd"/>
            <w:r>
              <w:rPr>
                <w:rFonts w:ascii="Times New Roman" w:eastAsia="Times New Roman" w:hAnsi="Times New Roman" w:cs="Times New Roman"/>
                <w:color w:val="000000"/>
                <w:sz w:val="23"/>
                <w:szCs w:val="23"/>
              </w:rPr>
              <w:t>.</w:t>
            </w:r>
          </w:p>
          <w:p w:rsidR="001F65F2" w:rsidRPr="003A4C77" w:rsidRDefault="003A4C77" w:rsidP="003A4C77">
            <w:pPr>
              <w:widowControl w:val="0"/>
              <w:tabs>
                <w:tab w:val="left" w:pos="2109"/>
                <w:tab w:val="left" w:pos="2727"/>
                <w:tab w:val="left" w:pos="4306"/>
                <w:tab w:val="left" w:pos="4968"/>
                <w:tab w:val="left" w:pos="5351"/>
                <w:tab w:val="left" w:pos="5856"/>
              </w:tabs>
              <w:spacing w:line="240" w:lineRule="auto"/>
              <w:ind w:right="18"/>
              <w:jc w:val="both"/>
              <w:rPr>
                <w:rFonts w:ascii="Times New Roman" w:eastAsia="Times New Roman" w:hAnsi="Times New Roman" w:cs="Times New Roman"/>
                <w:color w:val="000000"/>
                <w:sz w:val="23"/>
                <w:szCs w:val="23"/>
                <w:lang w:val="kk-KZ"/>
              </w:rPr>
            </w:pPr>
            <w:r w:rsidRPr="003A4C77">
              <w:rPr>
                <w:rFonts w:ascii="Times New Roman" w:eastAsia="Times New Roman" w:hAnsi="Times New Roman" w:cs="Times New Roman"/>
                <w:color w:val="000000"/>
                <w:sz w:val="23"/>
                <w:szCs w:val="23"/>
                <w:lang w:val="kk-KZ"/>
              </w:rPr>
              <w:t xml:space="preserve">Талдау әдістемесіне жүргізілген валидация нәтижелері мәлімделген дәрілік заттың сапасын дағдылы бақылауға арналған әдістемелерді </w:t>
            </w:r>
            <w:r>
              <w:rPr>
                <w:rFonts w:ascii="Times New Roman" w:eastAsia="Times New Roman" w:hAnsi="Times New Roman" w:cs="Times New Roman"/>
                <w:color w:val="000000"/>
                <w:sz w:val="23"/>
                <w:szCs w:val="23"/>
                <w:lang w:val="kk-KZ"/>
              </w:rPr>
              <w:t xml:space="preserve">қолдану мүмкіндігін айғақтайды. </w:t>
            </w:r>
            <w:r w:rsidRPr="003A4C77">
              <w:rPr>
                <w:rFonts w:ascii="Times New Roman" w:eastAsia="Times New Roman" w:hAnsi="Times New Roman" w:cs="Times New Roman"/>
                <w:color w:val="000000"/>
                <w:sz w:val="23"/>
                <w:szCs w:val="23"/>
                <w:lang w:val="kk-KZ"/>
              </w:rPr>
              <w:t>Бірізді үш серияда ұсынылған талдау сертификаты өнім сапасының тұрақтылығы және біртектілігі сериядан серияға сақталатындығын және үдерістің бақылауда болатындығын дәлелдеді.</w:t>
            </w:r>
          </w:p>
        </w:tc>
      </w:tr>
    </w:tbl>
    <w:p w:rsidR="001F65F2" w:rsidRPr="003A4C77" w:rsidRDefault="001F65F2">
      <w:pPr>
        <w:rPr>
          <w:lang w:val="kk-KZ"/>
        </w:rPr>
        <w:sectPr w:rsidR="001F65F2" w:rsidRPr="003A4C77">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1F65F2">
        <w:trPr>
          <w:cantSplit/>
          <w:trHeight w:hRule="exact" w:val="5283"/>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1F65F2" w:rsidRPr="003A4C77" w:rsidRDefault="001F65F2">
            <w:pPr>
              <w:rPr>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3A4C77" w:rsidRDefault="003A4C77" w:rsidP="003A4C7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A4C77" w:rsidRPr="003A4C77" w:rsidRDefault="003A4C77" w:rsidP="003A4C77">
            <w:pPr>
              <w:widowControl w:val="0"/>
              <w:tabs>
                <w:tab w:val="left" w:pos="2150"/>
                <w:tab w:val="left" w:pos="3766"/>
                <w:tab w:val="left" w:pos="5372"/>
              </w:tabs>
              <w:spacing w:line="240" w:lineRule="auto"/>
              <w:ind w:left="60" w:right="20" w:firstLine="716"/>
              <w:jc w:val="both"/>
              <w:rPr>
                <w:rFonts w:ascii="Times New Roman" w:eastAsia="Times New Roman" w:hAnsi="Times New Roman" w:cs="Times New Roman"/>
                <w:color w:val="000000"/>
                <w:sz w:val="23"/>
                <w:szCs w:val="23"/>
                <w:lang w:val="kk-KZ"/>
              </w:rPr>
            </w:pPr>
            <w:r w:rsidRPr="003A4C77">
              <w:rPr>
                <w:rFonts w:ascii="Times New Roman" w:eastAsia="Times New Roman" w:hAnsi="Times New Roman" w:cs="Times New Roman"/>
                <w:color w:val="000000"/>
                <w:sz w:val="23"/>
                <w:szCs w:val="23"/>
                <w:lang w:val="kk-KZ"/>
              </w:rPr>
              <w:t>Тұрақтылық сынақтары ICH Q1A (R2), Q1C  талаптарына сәйкес өткізеді. Бастапқы қаптама  мәлімделген деректерге сәйкес келеді .</w:t>
            </w:r>
          </w:p>
          <w:p w:rsidR="003A4C77" w:rsidRPr="003A4C77" w:rsidRDefault="003A4C77" w:rsidP="003A4C77">
            <w:pPr>
              <w:widowControl w:val="0"/>
              <w:tabs>
                <w:tab w:val="left" w:pos="2150"/>
                <w:tab w:val="left" w:pos="3766"/>
                <w:tab w:val="left" w:pos="5372"/>
              </w:tabs>
              <w:spacing w:line="240" w:lineRule="auto"/>
              <w:ind w:left="60" w:right="20" w:firstLine="716"/>
              <w:jc w:val="both"/>
              <w:rPr>
                <w:rFonts w:ascii="Times New Roman" w:eastAsia="Times New Roman" w:hAnsi="Times New Roman" w:cs="Times New Roman"/>
                <w:color w:val="000000"/>
                <w:sz w:val="23"/>
                <w:szCs w:val="23"/>
                <w:lang w:val="kk-KZ"/>
              </w:rPr>
            </w:pPr>
            <w:r w:rsidRPr="003A4C77">
              <w:rPr>
                <w:rFonts w:ascii="Times New Roman" w:eastAsia="Times New Roman" w:hAnsi="Times New Roman" w:cs="Times New Roman"/>
                <w:color w:val="000000"/>
                <w:sz w:val="23"/>
                <w:szCs w:val="23"/>
                <w:lang w:val="kk-KZ"/>
              </w:rPr>
              <w:t xml:space="preserve">Тұрақтылығына ұзақ мерзімдік зерттеу нәтижелеріне сәйкес, дайын препараттың сапасына қауіпті көрсеткіштердің нәтижелеріне сәйкес, дайын препараттың сапа көрсеткіштерінде елеулі өзгерістер байқалмайды.  </w:t>
            </w:r>
          </w:p>
          <w:p w:rsidR="003A4C77" w:rsidRPr="003A4C77" w:rsidRDefault="003A4C77" w:rsidP="003A4C77">
            <w:pPr>
              <w:widowControl w:val="0"/>
              <w:tabs>
                <w:tab w:val="left" w:pos="2150"/>
                <w:tab w:val="left" w:pos="3766"/>
                <w:tab w:val="left" w:pos="5372"/>
              </w:tabs>
              <w:spacing w:line="240" w:lineRule="auto"/>
              <w:ind w:left="60" w:right="20" w:firstLine="716"/>
              <w:jc w:val="both"/>
              <w:rPr>
                <w:rFonts w:ascii="Times New Roman" w:eastAsia="Times New Roman" w:hAnsi="Times New Roman" w:cs="Times New Roman"/>
                <w:color w:val="000000"/>
                <w:sz w:val="23"/>
                <w:szCs w:val="23"/>
                <w:lang w:val="kk-KZ"/>
              </w:rPr>
            </w:pPr>
          </w:p>
          <w:p w:rsidR="003A4C77" w:rsidRPr="003A4C77" w:rsidRDefault="003A4C77" w:rsidP="003A4C77">
            <w:pPr>
              <w:widowControl w:val="0"/>
              <w:tabs>
                <w:tab w:val="left" w:pos="2150"/>
                <w:tab w:val="left" w:pos="3766"/>
                <w:tab w:val="left" w:pos="5372"/>
              </w:tabs>
              <w:spacing w:line="240" w:lineRule="auto"/>
              <w:ind w:left="60" w:right="20" w:firstLine="716"/>
              <w:jc w:val="both"/>
              <w:rPr>
                <w:rFonts w:ascii="Times New Roman" w:eastAsia="Times New Roman" w:hAnsi="Times New Roman" w:cs="Times New Roman"/>
                <w:color w:val="000000"/>
                <w:sz w:val="23"/>
                <w:szCs w:val="23"/>
              </w:rPr>
            </w:pPr>
            <w:r w:rsidRPr="003A4C77">
              <w:rPr>
                <w:rFonts w:ascii="Times New Roman" w:eastAsia="Times New Roman" w:hAnsi="Times New Roman" w:cs="Times New Roman"/>
                <w:color w:val="000000"/>
                <w:sz w:val="23"/>
                <w:szCs w:val="23"/>
              </w:rPr>
              <w:t xml:space="preserve">1. </w:t>
            </w:r>
            <w:proofErr w:type="spellStart"/>
            <w:r w:rsidRPr="003A4C77">
              <w:rPr>
                <w:rFonts w:ascii="Times New Roman" w:eastAsia="Times New Roman" w:hAnsi="Times New Roman" w:cs="Times New Roman"/>
                <w:color w:val="000000"/>
                <w:sz w:val="23"/>
                <w:szCs w:val="23"/>
              </w:rPr>
              <w:t>Сипаттамасы</w:t>
            </w:r>
            <w:proofErr w:type="spellEnd"/>
            <w:r w:rsidRPr="003A4C77">
              <w:rPr>
                <w:rFonts w:ascii="Times New Roman" w:eastAsia="Times New Roman" w:hAnsi="Times New Roman" w:cs="Times New Roman"/>
                <w:color w:val="000000"/>
                <w:sz w:val="23"/>
                <w:szCs w:val="23"/>
              </w:rPr>
              <w:t xml:space="preserve"> спецификация </w:t>
            </w:r>
            <w:proofErr w:type="spellStart"/>
            <w:r w:rsidRPr="003A4C77">
              <w:rPr>
                <w:rFonts w:ascii="Times New Roman" w:eastAsia="Times New Roman" w:hAnsi="Times New Roman" w:cs="Times New Roman"/>
                <w:color w:val="000000"/>
                <w:sz w:val="23"/>
                <w:szCs w:val="23"/>
              </w:rPr>
              <w:t>талаптарына</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сай</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келеді</w:t>
            </w:r>
            <w:proofErr w:type="spellEnd"/>
            <w:r w:rsidRPr="003A4C77">
              <w:rPr>
                <w:rFonts w:ascii="Times New Roman" w:eastAsia="Times New Roman" w:hAnsi="Times New Roman" w:cs="Times New Roman"/>
                <w:color w:val="000000"/>
                <w:sz w:val="23"/>
                <w:szCs w:val="23"/>
              </w:rPr>
              <w:t xml:space="preserve">;  </w:t>
            </w:r>
          </w:p>
          <w:p w:rsidR="003A4C77" w:rsidRPr="003A4C77" w:rsidRDefault="003A4C77" w:rsidP="003A4C77">
            <w:pPr>
              <w:widowControl w:val="0"/>
              <w:tabs>
                <w:tab w:val="left" w:pos="2150"/>
                <w:tab w:val="left" w:pos="3766"/>
                <w:tab w:val="left" w:pos="5372"/>
              </w:tabs>
              <w:spacing w:line="240" w:lineRule="auto"/>
              <w:ind w:left="60" w:right="20" w:firstLine="716"/>
              <w:jc w:val="both"/>
              <w:rPr>
                <w:rFonts w:ascii="Times New Roman" w:eastAsia="Times New Roman" w:hAnsi="Times New Roman" w:cs="Times New Roman"/>
                <w:color w:val="000000"/>
                <w:sz w:val="23"/>
                <w:szCs w:val="23"/>
              </w:rPr>
            </w:pPr>
          </w:p>
          <w:p w:rsidR="003A4C77" w:rsidRPr="003A4C77" w:rsidRDefault="003A4C77" w:rsidP="003A4C77">
            <w:pPr>
              <w:widowControl w:val="0"/>
              <w:tabs>
                <w:tab w:val="left" w:pos="2150"/>
                <w:tab w:val="left" w:pos="3766"/>
                <w:tab w:val="left" w:pos="5372"/>
              </w:tabs>
              <w:spacing w:line="240" w:lineRule="auto"/>
              <w:ind w:left="60" w:right="20" w:firstLine="716"/>
              <w:jc w:val="both"/>
              <w:rPr>
                <w:rFonts w:ascii="Times New Roman" w:eastAsia="Times New Roman" w:hAnsi="Times New Roman" w:cs="Times New Roman"/>
                <w:color w:val="000000"/>
                <w:sz w:val="23"/>
                <w:szCs w:val="23"/>
              </w:rPr>
            </w:pPr>
            <w:r w:rsidRPr="003A4C77">
              <w:rPr>
                <w:rFonts w:ascii="Times New Roman" w:eastAsia="Times New Roman" w:hAnsi="Times New Roman" w:cs="Times New Roman"/>
                <w:color w:val="000000"/>
                <w:sz w:val="23"/>
                <w:szCs w:val="23"/>
              </w:rPr>
              <w:t xml:space="preserve">2. </w:t>
            </w:r>
            <w:proofErr w:type="spellStart"/>
            <w:r w:rsidRPr="003A4C77">
              <w:rPr>
                <w:rFonts w:ascii="Times New Roman" w:eastAsia="Times New Roman" w:hAnsi="Times New Roman" w:cs="Times New Roman"/>
                <w:color w:val="000000"/>
                <w:sz w:val="23"/>
                <w:szCs w:val="23"/>
              </w:rPr>
              <w:t>Ротавирустың</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мөлшері</w:t>
            </w:r>
            <w:proofErr w:type="spellEnd"/>
            <w:r w:rsidRPr="003A4C77">
              <w:rPr>
                <w:rFonts w:ascii="Times New Roman" w:eastAsia="Times New Roman" w:hAnsi="Times New Roman" w:cs="Times New Roman"/>
                <w:color w:val="000000"/>
                <w:sz w:val="23"/>
                <w:szCs w:val="23"/>
              </w:rPr>
              <w:t xml:space="preserve"> </w:t>
            </w:r>
            <w:proofErr w:type="spellStart"/>
            <w:proofErr w:type="gramStart"/>
            <w:r w:rsidRPr="003A4C77">
              <w:rPr>
                <w:rFonts w:ascii="Times New Roman" w:eastAsia="Times New Roman" w:hAnsi="Times New Roman" w:cs="Times New Roman"/>
                <w:color w:val="000000"/>
                <w:sz w:val="23"/>
                <w:szCs w:val="23"/>
              </w:rPr>
              <w:t>спецификация</w:t>
            </w:r>
            <w:proofErr w:type="gramEnd"/>
            <w:r w:rsidRPr="003A4C77">
              <w:rPr>
                <w:rFonts w:ascii="Times New Roman" w:eastAsia="Times New Roman" w:hAnsi="Times New Roman" w:cs="Times New Roman"/>
                <w:color w:val="000000"/>
                <w:sz w:val="23"/>
                <w:szCs w:val="23"/>
              </w:rPr>
              <w:t>ға</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сай</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келеді</w:t>
            </w:r>
            <w:proofErr w:type="spellEnd"/>
            <w:r w:rsidRPr="003A4C77">
              <w:rPr>
                <w:rFonts w:ascii="Times New Roman" w:eastAsia="Times New Roman" w:hAnsi="Times New Roman" w:cs="Times New Roman"/>
                <w:color w:val="000000"/>
                <w:sz w:val="23"/>
                <w:szCs w:val="23"/>
              </w:rPr>
              <w:t>;</w:t>
            </w:r>
          </w:p>
          <w:p w:rsidR="003A4C77" w:rsidRPr="003A4C77" w:rsidRDefault="003A4C77" w:rsidP="003A4C77">
            <w:pPr>
              <w:widowControl w:val="0"/>
              <w:tabs>
                <w:tab w:val="left" w:pos="2150"/>
                <w:tab w:val="left" w:pos="3766"/>
                <w:tab w:val="left" w:pos="5372"/>
              </w:tabs>
              <w:spacing w:line="240" w:lineRule="auto"/>
              <w:ind w:left="60" w:right="20" w:firstLine="716"/>
              <w:jc w:val="both"/>
              <w:rPr>
                <w:rFonts w:ascii="Times New Roman" w:eastAsia="Times New Roman" w:hAnsi="Times New Roman" w:cs="Times New Roman"/>
                <w:color w:val="000000"/>
                <w:sz w:val="23"/>
                <w:szCs w:val="23"/>
              </w:rPr>
            </w:pPr>
          </w:p>
          <w:p w:rsidR="003A4C77" w:rsidRPr="003A4C77" w:rsidRDefault="003A4C77" w:rsidP="003A4C77">
            <w:pPr>
              <w:widowControl w:val="0"/>
              <w:tabs>
                <w:tab w:val="left" w:pos="2150"/>
                <w:tab w:val="left" w:pos="3766"/>
                <w:tab w:val="left" w:pos="5372"/>
              </w:tabs>
              <w:spacing w:line="240" w:lineRule="auto"/>
              <w:ind w:left="60" w:right="20" w:firstLine="716"/>
              <w:jc w:val="both"/>
              <w:rPr>
                <w:rFonts w:ascii="Times New Roman" w:eastAsia="Times New Roman" w:hAnsi="Times New Roman" w:cs="Times New Roman"/>
                <w:color w:val="000000"/>
                <w:sz w:val="23"/>
                <w:szCs w:val="23"/>
              </w:rPr>
            </w:pPr>
            <w:r w:rsidRPr="003A4C77">
              <w:rPr>
                <w:rFonts w:ascii="Times New Roman" w:eastAsia="Times New Roman" w:hAnsi="Times New Roman" w:cs="Times New Roman"/>
                <w:color w:val="000000"/>
                <w:sz w:val="23"/>
                <w:szCs w:val="23"/>
              </w:rPr>
              <w:t xml:space="preserve">3. </w:t>
            </w:r>
            <w:proofErr w:type="spellStart"/>
            <w:r w:rsidRPr="003A4C77">
              <w:rPr>
                <w:rFonts w:ascii="Times New Roman" w:eastAsia="Times New Roman" w:hAnsi="Times New Roman" w:cs="Times New Roman"/>
                <w:color w:val="000000"/>
                <w:sz w:val="23"/>
                <w:szCs w:val="23"/>
              </w:rPr>
              <w:t>Микоплазманың</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болмауы</w:t>
            </w:r>
            <w:proofErr w:type="spellEnd"/>
            <w:r w:rsidRPr="003A4C77">
              <w:rPr>
                <w:rFonts w:ascii="Times New Roman" w:eastAsia="Times New Roman" w:hAnsi="Times New Roman" w:cs="Times New Roman"/>
                <w:color w:val="000000"/>
                <w:sz w:val="23"/>
                <w:szCs w:val="23"/>
              </w:rPr>
              <w:t xml:space="preserve"> спецификация   </w:t>
            </w:r>
          </w:p>
          <w:p w:rsidR="003A4C77" w:rsidRPr="003A4C77" w:rsidRDefault="003A4C77" w:rsidP="003A4C77">
            <w:pPr>
              <w:widowControl w:val="0"/>
              <w:tabs>
                <w:tab w:val="left" w:pos="2150"/>
                <w:tab w:val="left" w:pos="3766"/>
                <w:tab w:val="left" w:pos="5372"/>
              </w:tabs>
              <w:spacing w:line="240" w:lineRule="auto"/>
              <w:ind w:left="60" w:right="20" w:firstLine="716"/>
              <w:jc w:val="both"/>
              <w:rPr>
                <w:rFonts w:ascii="Times New Roman" w:eastAsia="Times New Roman" w:hAnsi="Times New Roman" w:cs="Times New Roman"/>
                <w:color w:val="000000"/>
                <w:sz w:val="23"/>
                <w:szCs w:val="23"/>
              </w:rPr>
            </w:pPr>
            <w:r w:rsidRPr="003A4C77">
              <w:rPr>
                <w:rFonts w:ascii="Times New Roman" w:eastAsia="Times New Roman" w:hAnsi="Times New Roman" w:cs="Times New Roman"/>
                <w:color w:val="000000"/>
                <w:sz w:val="23"/>
                <w:szCs w:val="23"/>
              </w:rPr>
              <w:t xml:space="preserve"> </w:t>
            </w:r>
            <w:r w:rsidRPr="003A4C77">
              <w:rPr>
                <w:rFonts w:ascii="Times New Roman" w:eastAsia="Times New Roman" w:hAnsi="Times New Roman" w:cs="Times New Roman"/>
                <w:color w:val="000000"/>
                <w:sz w:val="23"/>
                <w:szCs w:val="23"/>
              </w:rPr>
              <w:tab/>
            </w:r>
            <w:proofErr w:type="spellStart"/>
            <w:r w:rsidRPr="003A4C77">
              <w:rPr>
                <w:rFonts w:ascii="Times New Roman" w:eastAsia="Times New Roman" w:hAnsi="Times New Roman" w:cs="Times New Roman"/>
                <w:color w:val="000000"/>
                <w:sz w:val="23"/>
                <w:szCs w:val="23"/>
              </w:rPr>
              <w:t>талаптарына</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сай</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келеді</w:t>
            </w:r>
            <w:proofErr w:type="spellEnd"/>
            <w:r w:rsidRPr="003A4C77">
              <w:rPr>
                <w:rFonts w:ascii="Times New Roman" w:eastAsia="Times New Roman" w:hAnsi="Times New Roman" w:cs="Times New Roman"/>
                <w:color w:val="000000"/>
                <w:sz w:val="23"/>
                <w:szCs w:val="23"/>
              </w:rPr>
              <w:t xml:space="preserve">;  </w:t>
            </w:r>
          </w:p>
          <w:p w:rsidR="003A4C77" w:rsidRPr="003A4C77" w:rsidRDefault="003A4C77" w:rsidP="003A4C77">
            <w:pPr>
              <w:widowControl w:val="0"/>
              <w:tabs>
                <w:tab w:val="left" w:pos="2150"/>
                <w:tab w:val="left" w:pos="3766"/>
                <w:tab w:val="left" w:pos="5372"/>
              </w:tabs>
              <w:spacing w:line="240" w:lineRule="auto"/>
              <w:ind w:left="60" w:right="20" w:firstLine="716"/>
              <w:jc w:val="both"/>
              <w:rPr>
                <w:rFonts w:ascii="Times New Roman" w:eastAsia="Times New Roman" w:hAnsi="Times New Roman" w:cs="Times New Roman"/>
                <w:color w:val="000000"/>
                <w:sz w:val="23"/>
                <w:szCs w:val="23"/>
              </w:rPr>
            </w:pPr>
          </w:p>
          <w:p w:rsidR="001F65F2" w:rsidRDefault="003A4C77" w:rsidP="003A4C77">
            <w:pPr>
              <w:widowControl w:val="0"/>
              <w:tabs>
                <w:tab w:val="left" w:pos="2150"/>
                <w:tab w:val="left" w:pos="3766"/>
                <w:tab w:val="left" w:pos="5372"/>
              </w:tabs>
              <w:spacing w:line="240" w:lineRule="auto"/>
              <w:ind w:left="60" w:right="20" w:firstLine="716"/>
              <w:jc w:val="both"/>
              <w:rPr>
                <w:rFonts w:ascii="Times New Roman" w:eastAsia="Times New Roman" w:hAnsi="Times New Roman" w:cs="Times New Roman"/>
                <w:color w:val="000000"/>
                <w:sz w:val="23"/>
                <w:szCs w:val="23"/>
              </w:rPr>
            </w:pPr>
            <w:proofErr w:type="spellStart"/>
            <w:r w:rsidRPr="003A4C77">
              <w:rPr>
                <w:rFonts w:ascii="Times New Roman" w:eastAsia="Times New Roman" w:hAnsi="Times New Roman" w:cs="Times New Roman"/>
                <w:color w:val="000000"/>
                <w:sz w:val="23"/>
                <w:szCs w:val="23"/>
              </w:rPr>
              <w:t>Препараттың</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әрбі</w:t>
            </w:r>
            <w:proofErr w:type="gramStart"/>
            <w:r w:rsidRPr="003A4C77">
              <w:rPr>
                <w:rFonts w:ascii="Times New Roman" w:eastAsia="Times New Roman" w:hAnsi="Times New Roman" w:cs="Times New Roman"/>
                <w:color w:val="000000"/>
                <w:sz w:val="23"/>
                <w:szCs w:val="23"/>
              </w:rPr>
              <w:t>р</w:t>
            </w:r>
            <w:proofErr w:type="spellEnd"/>
            <w:proofErr w:type="gram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шығарылатын</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көлемі</w:t>
            </w:r>
            <w:proofErr w:type="spellEnd"/>
            <w:r w:rsidRPr="003A4C77">
              <w:rPr>
                <w:rFonts w:ascii="Times New Roman" w:eastAsia="Times New Roman" w:hAnsi="Times New Roman" w:cs="Times New Roman"/>
                <w:color w:val="000000"/>
                <w:sz w:val="23"/>
                <w:szCs w:val="23"/>
              </w:rPr>
              <w:t xml:space="preserve">  0.5 мл, 2.5 мл, 5.0 мл </w:t>
            </w:r>
            <w:proofErr w:type="spellStart"/>
            <w:r w:rsidRPr="003A4C77">
              <w:rPr>
                <w:rFonts w:ascii="Times New Roman" w:eastAsia="Times New Roman" w:hAnsi="Times New Roman" w:cs="Times New Roman"/>
                <w:color w:val="000000"/>
                <w:sz w:val="23"/>
                <w:szCs w:val="23"/>
              </w:rPr>
              <w:t>тұрақтылығын</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зерттеу</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нәтижелері</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мәлімделген</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сақтау</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мерзімінің</w:t>
            </w:r>
            <w:proofErr w:type="spellEnd"/>
            <w:r w:rsidRPr="003A4C77">
              <w:rPr>
                <w:rFonts w:ascii="Times New Roman" w:eastAsia="Times New Roman" w:hAnsi="Times New Roman" w:cs="Times New Roman"/>
                <w:color w:val="000000"/>
                <w:sz w:val="23"/>
                <w:szCs w:val="23"/>
              </w:rPr>
              <w:t xml:space="preserve"> 5  </w:t>
            </w:r>
            <w:proofErr w:type="spellStart"/>
            <w:r w:rsidRPr="003A4C77">
              <w:rPr>
                <w:rFonts w:ascii="Times New Roman" w:eastAsia="Times New Roman" w:hAnsi="Times New Roman" w:cs="Times New Roman"/>
                <w:color w:val="000000"/>
                <w:sz w:val="23"/>
                <w:szCs w:val="23"/>
              </w:rPr>
              <w:t>жыл</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екендігін</w:t>
            </w:r>
            <w:proofErr w:type="spellEnd"/>
            <w:r w:rsidRPr="003A4C77">
              <w:rPr>
                <w:rFonts w:ascii="Times New Roman" w:eastAsia="Times New Roman" w:hAnsi="Times New Roman" w:cs="Times New Roman"/>
                <w:color w:val="000000"/>
                <w:sz w:val="23"/>
                <w:szCs w:val="23"/>
              </w:rPr>
              <w:t xml:space="preserve"> </w:t>
            </w:r>
            <w:proofErr w:type="spellStart"/>
            <w:r w:rsidRPr="003A4C77">
              <w:rPr>
                <w:rFonts w:ascii="Times New Roman" w:eastAsia="Times New Roman" w:hAnsi="Times New Roman" w:cs="Times New Roman"/>
                <w:color w:val="000000"/>
                <w:sz w:val="23"/>
                <w:szCs w:val="23"/>
              </w:rPr>
              <w:t>айғақтайды</w:t>
            </w:r>
            <w:proofErr w:type="spellEnd"/>
            <w:r w:rsidRPr="003A4C77">
              <w:rPr>
                <w:rFonts w:ascii="Times New Roman" w:eastAsia="Times New Roman" w:hAnsi="Times New Roman" w:cs="Times New Roman"/>
                <w:color w:val="000000"/>
                <w:sz w:val="23"/>
                <w:szCs w:val="23"/>
              </w:rPr>
              <w:t>.</w:t>
            </w:r>
          </w:p>
        </w:tc>
      </w:tr>
      <w:tr w:rsidR="001F65F2" w:rsidRPr="00C401C6">
        <w:trPr>
          <w:cantSplit/>
          <w:trHeight w:hRule="exact" w:val="216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after="6" w:line="220" w:lineRule="exact"/>
            </w:pPr>
          </w:p>
          <w:p w:rsidR="001F65F2" w:rsidRDefault="001466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94765F" w:rsidRDefault="001C6F99">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Кл</w:t>
            </w:r>
            <w:r w:rsidR="0094765F">
              <w:rPr>
                <w:rFonts w:ascii="Times New Roman" w:eastAsia="Times New Roman" w:hAnsi="Times New Roman" w:cs="Times New Roman"/>
                <w:color w:val="000000"/>
                <w:spacing w:val="3"/>
                <w:sz w:val="23"/>
                <w:szCs w:val="23"/>
                <w:lang w:val="kk-KZ"/>
              </w:rPr>
              <w:t xml:space="preserve">иникаға дейінгі </w:t>
            </w:r>
            <w:r w:rsidR="001466D6">
              <w:rPr>
                <w:rFonts w:ascii="Times New Roman" w:eastAsia="Times New Roman" w:hAnsi="Times New Roman" w:cs="Times New Roman"/>
                <w:color w:val="000000"/>
                <w:spacing w:val="3"/>
                <w:sz w:val="23"/>
                <w:szCs w:val="23"/>
              </w:rPr>
              <w:t>а</w:t>
            </w:r>
            <w:r w:rsidR="001466D6">
              <w:rPr>
                <w:rFonts w:ascii="Times New Roman" w:eastAsia="Times New Roman" w:hAnsi="Times New Roman" w:cs="Times New Roman"/>
                <w:color w:val="000000"/>
                <w:spacing w:val="2"/>
                <w:sz w:val="23"/>
                <w:szCs w:val="23"/>
              </w:rPr>
              <w:t>спе</w:t>
            </w:r>
            <w:r w:rsidR="001466D6">
              <w:rPr>
                <w:rFonts w:ascii="Times New Roman" w:eastAsia="Times New Roman" w:hAnsi="Times New Roman" w:cs="Times New Roman"/>
                <w:color w:val="000000"/>
                <w:spacing w:val="3"/>
                <w:sz w:val="23"/>
                <w:szCs w:val="23"/>
              </w:rPr>
              <w:t>к</w:t>
            </w:r>
            <w:r w:rsidR="001466D6">
              <w:rPr>
                <w:rFonts w:ascii="Times New Roman" w:eastAsia="Times New Roman" w:hAnsi="Times New Roman" w:cs="Times New Roman"/>
                <w:color w:val="000000"/>
                <w:spacing w:val="2"/>
                <w:sz w:val="23"/>
                <w:szCs w:val="23"/>
              </w:rPr>
              <w:t>т</w:t>
            </w:r>
            <w:r w:rsidR="0094765F">
              <w:rPr>
                <w:rFonts w:ascii="Times New Roman" w:eastAsia="Times New Roman" w:hAnsi="Times New Roman" w:cs="Times New Roman"/>
                <w:color w:val="000000"/>
                <w:sz w:val="23"/>
                <w:szCs w:val="23"/>
                <w:lang w:val="kk-KZ"/>
              </w:rPr>
              <w:t xml:space="preserve">ілер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94765F" w:rsidRDefault="0094765F">
            <w:pPr>
              <w:widowControl w:val="0"/>
              <w:spacing w:before="3" w:line="240" w:lineRule="auto"/>
              <w:ind w:left="60" w:right="27"/>
              <w:rPr>
                <w:rFonts w:ascii="Times New Roman" w:eastAsia="Times New Roman" w:hAnsi="Times New Roman" w:cs="Times New Roman"/>
                <w:color w:val="000000"/>
                <w:sz w:val="23"/>
                <w:szCs w:val="23"/>
                <w:lang w:val="kk-KZ"/>
              </w:rPr>
            </w:pPr>
            <w:r w:rsidRPr="0094765F">
              <w:rPr>
                <w:rFonts w:ascii="Times New Roman" w:eastAsia="Times New Roman" w:hAnsi="Times New Roman" w:cs="Times New Roman"/>
                <w:color w:val="000000"/>
                <w:sz w:val="23"/>
                <w:szCs w:val="23"/>
                <w:lang w:val="kk-KZ"/>
              </w:rPr>
              <w:t>Клиникаға дейінгі зерттеулер ұсынылған: 4.2.1. Фармакология 4.2.2. Фармакокинетикасы 4.2.3. Токсикология 4.2.3.1. Бір реттік дозадағы  уыттылығы 4.2.3.2. 4.2.3.3.көп реттік дозадағы  уыттылығы. Геноуыттылық 4.2.3.4. Канцерогендігі 4.2.3.5. Геноуыттылық және эмбриоуыттылық 4.2.3.6. Жергілікті төзімділік 4.2.3.7. 4.3 уыттылықты басқа да зерттеулер әдебиет (мақалалар мен ғылыми жарияланымдарға сілтемелер).</w:t>
            </w:r>
          </w:p>
        </w:tc>
      </w:tr>
      <w:tr w:rsidR="001F65F2" w:rsidTr="001C6F99">
        <w:trPr>
          <w:cantSplit/>
          <w:trHeight w:hRule="exact" w:val="560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94765F" w:rsidRDefault="001F65F2">
            <w:pPr>
              <w:spacing w:line="240" w:lineRule="exact"/>
              <w:rPr>
                <w:sz w:val="24"/>
                <w:szCs w:val="24"/>
                <w:lang w:val="kk-KZ"/>
              </w:rPr>
            </w:pPr>
          </w:p>
          <w:p w:rsidR="001F65F2" w:rsidRPr="0094765F" w:rsidRDefault="001F65F2">
            <w:pPr>
              <w:spacing w:line="240" w:lineRule="exact"/>
              <w:rPr>
                <w:sz w:val="24"/>
                <w:szCs w:val="24"/>
                <w:lang w:val="kk-KZ"/>
              </w:rPr>
            </w:pPr>
          </w:p>
          <w:p w:rsidR="001F65F2" w:rsidRPr="0094765F" w:rsidRDefault="001F65F2">
            <w:pPr>
              <w:spacing w:line="240" w:lineRule="exact"/>
              <w:rPr>
                <w:sz w:val="24"/>
                <w:szCs w:val="24"/>
                <w:lang w:val="kk-KZ"/>
              </w:rPr>
            </w:pPr>
          </w:p>
          <w:p w:rsidR="001F65F2" w:rsidRPr="0094765F" w:rsidRDefault="001F65F2">
            <w:pPr>
              <w:spacing w:line="240" w:lineRule="exact"/>
              <w:rPr>
                <w:sz w:val="24"/>
                <w:szCs w:val="24"/>
                <w:lang w:val="kk-KZ"/>
              </w:rPr>
            </w:pPr>
          </w:p>
          <w:p w:rsidR="001F65F2" w:rsidRPr="0094765F" w:rsidRDefault="001F65F2">
            <w:pPr>
              <w:spacing w:line="240" w:lineRule="exact"/>
              <w:rPr>
                <w:sz w:val="24"/>
                <w:szCs w:val="24"/>
                <w:lang w:val="kk-KZ"/>
              </w:rPr>
            </w:pPr>
          </w:p>
          <w:p w:rsidR="001F65F2" w:rsidRPr="0094765F" w:rsidRDefault="001F65F2">
            <w:pPr>
              <w:spacing w:line="240" w:lineRule="exact"/>
              <w:rPr>
                <w:sz w:val="24"/>
                <w:szCs w:val="24"/>
                <w:lang w:val="kk-KZ"/>
              </w:rPr>
            </w:pPr>
          </w:p>
          <w:p w:rsidR="001F65F2" w:rsidRPr="0094765F" w:rsidRDefault="001F65F2">
            <w:pPr>
              <w:spacing w:line="240" w:lineRule="exact"/>
              <w:rPr>
                <w:sz w:val="24"/>
                <w:szCs w:val="24"/>
                <w:lang w:val="kk-KZ"/>
              </w:rPr>
            </w:pPr>
          </w:p>
          <w:p w:rsidR="001F65F2" w:rsidRPr="0094765F" w:rsidRDefault="001F65F2">
            <w:pPr>
              <w:spacing w:line="240" w:lineRule="exact"/>
              <w:rPr>
                <w:sz w:val="24"/>
                <w:szCs w:val="24"/>
                <w:lang w:val="kk-KZ"/>
              </w:rPr>
            </w:pPr>
          </w:p>
          <w:p w:rsidR="001F65F2" w:rsidRPr="0094765F" w:rsidRDefault="001F65F2">
            <w:pPr>
              <w:spacing w:line="240" w:lineRule="exact"/>
              <w:rPr>
                <w:sz w:val="24"/>
                <w:szCs w:val="24"/>
                <w:lang w:val="kk-KZ"/>
              </w:rPr>
            </w:pPr>
          </w:p>
          <w:p w:rsidR="001F65F2" w:rsidRPr="0094765F" w:rsidRDefault="001F65F2">
            <w:pPr>
              <w:spacing w:line="240" w:lineRule="exact"/>
              <w:rPr>
                <w:sz w:val="24"/>
                <w:szCs w:val="24"/>
                <w:lang w:val="kk-KZ"/>
              </w:rPr>
            </w:pPr>
          </w:p>
          <w:p w:rsidR="001F65F2" w:rsidRPr="0094765F" w:rsidRDefault="001F65F2">
            <w:pPr>
              <w:spacing w:after="16" w:line="120" w:lineRule="exact"/>
              <w:rPr>
                <w:sz w:val="12"/>
                <w:szCs w:val="12"/>
                <w:lang w:val="kk-KZ"/>
              </w:rPr>
            </w:pPr>
          </w:p>
          <w:p w:rsidR="001F65F2" w:rsidRDefault="001466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6A6A37" w:rsidRDefault="001466D6">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sidR="006A6A37">
              <w:rPr>
                <w:rFonts w:ascii="Times New Roman" w:eastAsia="Times New Roman" w:hAnsi="Times New Roman" w:cs="Times New Roman"/>
                <w:color w:val="000000"/>
                <w:spacing w:val="2"/>
                <w:sz w:val="23"/>
                <w:szCs w:val="23"/>
                <w:lang w:val="kk-KZ"/>
              </w:rPr>
              <w:t xml:space="preserve">калық </w:t>
            </w:r>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ек</w:t>
            </w:r>
            <w:proofErr w:type="spellEnd"/>
            <w:r w:rsidR="006A6A37">
              <w:rPr>
                <w:rFonts w:ascii="Times New Roman" w:eastAsia="Times New Roman" w:hAnsi="Times New Roman" w:cs="Times New Roman"/>
                <w:color w:val="000000"/>
                <w:spacing w:val="3"/>
                <w:sz w:val="23"/>
                <w:szCs w:val="23"/>
                <w:lang w:val="kk-KZ"/>
              </w:rPr>
              <w:t>тілері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381E82">
            <w:pPr>
              <w:widowControl w:val="0"/>
              <w:spacing w:before="3" w:line="240" w:lineRule="auto"/>
              <w:ind w:left="60" w:right="-1"/>
              <w:rPr>
                <w:rFonts w:ascii="Times New Roman" w:eastAsia="Times New Roman" w:hAnsi="Times New Roman" w:cs="Times New Roman"/>
                <w:color w:val="000000"/>
                <w:sz w:val="23"/>
                <w:szCs w:val="23"/>
              </w:rPr>
            </w:pPr>
            <w:r w:rsidRPr="00381E82">
              <w:rPr>
                <w:rFonts w:ascii="Times New Roman" w:eastAsia="Times New Roman" w:hAnsi="Times New Roman" w:cs="Times New Roman"/>
                <w:color w:val="000000"/>
                <w:sz w:val="23"/>
                <w:szCs w:val="23"/>
                <w:lang w:val="kk-KZ"/>
              </w:rPr>
              <w:t xml:space="preserve">Ұсынылған клиникалық зерттеулер: 1. Дозасын арттыру арқылы  қосарлы  жасырын рандомизацияланған плацебо-бақылау жүргізу. 2. 8-20 апта (II кезең)  жас шамасындағы тамақты тойып жей алмаудан зардап шекпейтін дені сау балаларда  116e әлсіз ротавирустың қауіпсіздігі мен иммуногендігін бағалау үшін жүргізілген  Ib / IIa зерттеуі туралы есеп. 3. III фаза рандомизацияланған қосарлы  плацебо-бақыланатын, ерте жастағы балалардағы ауыр ротавирустық гастроэнтеритке қарсы ротавирус (ORV) 116E пероральді вакцинасының үш дозасының қорғау тиімділігін бағалау бойынша  жасырын зерттеу. 4.Дені сау  балаларда буферлік агентпен бір мезгілде немесе онсыз rotavac әлсіз ротавирустық вакцинасын қолданған кезде иммуногендігін, реактогендігін және өмір қауіпсіздігін бағалау бойынша III фазаны көп орталықты рандомизацияланған жасырын зерттеу.5. Ересектер мен балаларға арналған АҚШ-тағы клиникалық сынақтар туралы есеп (IV кезең). 6. Ересектерге жүргізілген  клиникалық сынақтардың есебі (IV кезең). 7. Балаларға жүргізілген  клиникалық сынақтар  туралы есеп (IV кезең). </w:t>
            </w:r>
            <w:r w:rsidRPr="00381E82">
              <w:rPr>
                <w:rFonts w:ascii="Times New Roman" w:eastAsia="Times New Roman" w:hAnsi="Times New Roman" w:cs="Times New Roman"/>
                <w:color w:val="000000"/>
                <w:sz w:val="23"/>
                <w:szCs w:val="23"/>
              </w:rPr>
              <w:t xml:space="preserve">8. </w:t>
            </w:r>
            <w:proofErr w:type="spellStart"/>
            <w:r w:rsidRPr="00381E82">
              <w:rPr>
                <w:rFonts w:ascii="Times New Roman" w:eastAsia="Times New Roman" w:hAnsi="Times New Roman" w:cs="Times New Roman"/>
                <w:color w:val="000000"/>
                <w:sz w:val="23"/>
                <w:szCs w:val="23"/>
              </w:rPr>
              <w:t>Жарияланған</w:t>
            </w:r>
            <w:proofErr w:type="spellEnd"/>
            <w:r w:rsidRPr="00381E82">
              <w:rPr>
                <w:rFonts w:ascii="Times New Roman" w:eastAsia="Times New Roman" w:hAnsi="Times New Roman" w:cs="Times New Roman"/>
                <w:color w:val="000000"/>
                <w:sz w:val="23"/>
                <w:szCs w:val="23"/>
              </w:rPr>
              <w:t xml:space="preserve"> </w:t>
            </w:r>
            <w:proofErr w:type="spellStart"/>
            <w:r w:rsidRPr="00381E82">
              <w:rPr>
                <w:rFonts w:ascii="Times New Roman" w:eastAsia="Times New Roman" w:hAnsi="Times New Roman" w:cs="Times New Roman"/>
                <w:color w:val="000000"/>
                <w:sz w:val="23"/>
                <w:szCs w:val="23"/>
              </w:rPr>
              <w:t>клиникалық</w:t>
            </w:r>
            <w:proofErr w:type="spellEnd"/>
            <w:r w:rsidRPr="00381E82">
              <w:rPr>
                <w:rFonts w:ascii="Times New Roman" w:eastAsia="Times New Roman" w:hAnsi="Times New Roman" w:cs="Times New Roman"/>
                <w:color w:val="000000"/>
                <w:sz w:val="23"/>
                <w:szCs w:val="23"/>
              </w:rPr>
              <w:t xml:space="preserve"> </w:t>
            </w:r>
            <w:proofErr w:type="spellStart"/>
            <w:r w:rsidRPr="00381E82">
              <w:rPr>
                <w:rFonts w:ascii="Times New Roman" w:eastAsia="Times New Roman" w:hAnsi="Times New Roman" w:cs="Times New Roman"/>
                <w:color w:val="000000"/>
                <w:sz w:val="23"/>
                <w:szCs w:val="23"/>
              </w:rPr>
              <w:t>деректер</w:t>
            </w:r>
            <w:proofErr w:type="spellEnd"/>
            <w:r w:rsidRPr="00381E82">
              <w:rPr>
                <w:rFonts w:ascii="Times New Roman" w:eastAsia="Times New Roman" w:hAnsi="Times New Roman" w:cs="Times New Roman"/>
                <w:color w:val="000000"/>
                <w:sz w:val="23"/>
                <w:szCs w:val="23"/>
              </w:rPr>
              <w:t>.</w:t>
            </w:r>
          </w:p>
        </w:tc>
      </w:tr>
      <w:tr w:rsidR="001F65F2" w:rsidRPr="00C401C6" w:rsidTr="001C6F99">
        <w:trPr>
          <w:cantSplit/>
          <w:trHeight w:hRule="exact" w:val="1446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line="240" w:lineRule="exact"/>
              <w:rPr>
                <w:sz w:val="24"/>
                <w:szCs w:val="24"/>
              </w:rPr>
            </w:pPr>
          </w:p>
          <w:p w:rsidR="001F65F2" w:rsidRDefault="001F65F2">
            <w:pPr>
              <w:spacing w:after="6" w:line="120" w:lineRule="exact"/>
              <w:rPr>
                <w:sz w:val="12"/>
                <w:szCs w:val="12"/>
              </w:rPr>
            </w:pPr>
          </w:p>
          <w:p w:rsidR="001F65F2" w:rsidRDefault="001466D6">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65F2" w:rsidRPr="00DE4932" w:rsidRDefault="00DE4932">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Пайда-қаупін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6F99" w:rsidRPr="001C6F99"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C6F99">
              <w:rPr>
                <w:rFonts w:ascii="Times New Roman" w:eastAsia="Times New Roman" w:hAnsi="Times New Roman" w:cs="Times New Roman"/>
                <w:color w:val="000000"/>
                <w:sz w:val="23"/>
                <w:szCs w:val="23"/>
                <w:lang w:val="kk-KZ"/>
              </w:rPr>
              <w:t>Иммунитеті әлсіз балаларда, АИТВ немесе созылмалы гастроэнтериті бар жаңа туған нәрестелерде клиникалық зерттеулер кезінде РОТАВАК қауіпсіздігі мен тиімділігі туралы ақпарат жоқ.  РОТАВАК енгізу иммунитеті әлсіреген немесе иммунитет тапшылығы бар адамдармен тығыз байланыста болған балаларда, егер дәрігердің пікірі бойынша пайда тәуекелден асып кетсе, сақтықпен жүргізілуі тиіс. Осыған ұқсас,  инфекциялар мен ыстығының көтерілуі вакцинация мерзімін ауыстыру үшін себеп болуы мүмкін.  Денесінің ыстығы аз  көтерілген жағдайда  және  ЖРВИ-дің  әлсіз көріністерінде РОТАВАК-ты  қолдануға болады.</w:t>
            </w:r>
          </w:p>
          <w:p w:rsidR="001C6F99"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C6F99">
              <w:rPr>
                <w:rFonts w:ascii="Times New Roman" w:eastAsia="Times New Roman" w:hAnsi="Times New Roman" w:cs="Times New Roman"/>
                <w:color w:val="000000"/>
                <w:sz w:val="23"/>
                <w:szCs w:val="23"/>
                <w:lang w:val="kk-KZ"/>
              </w:rPr>
              <w:t>Қолда бар жарияланған деректер Ротавирустан вакцинаның 1 дозасын енгізгеннен кейін инвагинацияның шағын жиілігін көрсетеді.</w:t>
            </w:r>
            <w:r w:rsidRPr="001C6F99">
              <w:rPr>
                <w:rFonts w:ascii="Times New Roman" w:eastAsia="Times New Roman" w:hAnsi="Times New Roman" w:cs="Times New Roman"/>
                <w:color w:val="000000"/>
                <w:sz w:val="23"/>
                <w:szCs w:val="23"/>
                <w:lang w:val="kk-KZ"/>
              </w:rPr>
              <w:tab/>
              <w:t>РОТАВАКқа жүргізілген  клиникалық зерттеу барысында алынған қауіпсіздік бойынша деректер РОТАВАК енгізген кезде инвагинацияның жоғары қаупі анықталмаған.     Алайда, медицина қызметкерлері инвагинацияның байқалатын симптомдарын мұқият қадағалауы тиіс, мысалы, ұзақ құсу, орындықтағы қан, іш қуысының қабынуы немесе іштің кебуі. Бұл туралы ата-аналарды/қамқор</w:t>
            </w:r>
            <w:r>
              <w:rPr>
                <w:rFonts w:ascii="Times New Roman" w:eastAsia="Times New Roman" w:hAnsi="Times New Roman" w:cs="Times New Roman"/>
                <w:color w:val="000000"/>
                <w:sz w:val="23"/>
                <w:szCs w:val="23"/>
                <w:lang w:val="kk-KZ"/>
              </w:rPr>
              <w:t>шыларды хабардар ету қажет.</w:t>
            </w:r>
          </w:p>
          <w:p w:rsidR="001C6F99" w:rsidRPr="001C6F99"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C6F99">
              <w:rPr>
                <w:rFonts w:ascii="Times New Roman" w:eastAsia="Times New Roman" w:hAnsi="Times New Roman" w:cs="Times New Roman"/>
                <w:color w:val="000000"/>
                <w:sz w:val="23"/>
                <w:szCs w:val="23"/>
                <w:lang w:val="kk-KZ"/>
              </w:rPr>
              <w:t>G9p вакцина штаммының генотипі бар ротавирустық гастроэнтерит (RVGE): 13,296 дозасын алу кезінде анықталған гастроэнтериттің жиырма екі G9P жағдайын көрсетті (шамамен 600 дозадан 1 жағдай); 20 бірінші дозаны енгізгеннен кейін, 2 – екінші дозадан кейін және 0 – үшінші дозадан кейін пайда болды.       Ротавирустық гастроэнтериттің ауыр жағдайлары G9P байланысты емес. Бұл жағдайдың екі ықтимал түсіндірмесі: вакцина сирек кездесетін жеңіл гастроэнтерит немесе гастроэнтерит тудырады.</w:t>
            </w:r>
          </w:p>
          <w:p w:rsidR="001C6F99" w:rsidRPr="001C6F99"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C6F99">
              <w:rPr>
                <w:rFonts w:ascii="Times New Roman" w:eastAsia="Times New Roman" w:hAnsi="Times New Roman" w:cs="Times New Roman"/>
                <w:color w:val="000000"/>
                <w:sz w:val="23"/>
                <w:szCs w:val="23"/>
                <w:lang w:val="kk-KZ"/>
              </w:rPr>
              <w:t>Басқа вакциналар сияқты РОТАВЕК басқа патогендерден туындаған ротавирустық гастроэнтериттен немесе гастроэнтериттен қорғауға кепілдік бермейді.</w:t>
            </w:r>
          </w:p>
          <w:p w:rsidR="001C6F99" w:rsidRPr="001C6F99"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C6F99">
              <w:rPr>
                <w:rFonts w:ascii="Times New Roman" w:eastAsia="Times New Roman" w:hAnsi="Times New Roman" w:cs="Times New Roman"/>
                <w:color w:val="000000"/>
                <w:sz w:val="23"/>
                <w:szCs w:val="23"/>
                <w:lang w:val="kk-KZ"/>
              </w:rPr>
              <w:t>Байланыстан кейінгі алдын алу кезінде РОТАВАК пайдалану туралы ақпарат жоқ.</w:t>
            </w:r>
          </w:p>
          <w:p w:rsidR="001C6F99" w:rsidRPr="001C6F99"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C6F99">
              <w:rPr>
                <w:rFonts w:ascii="Times New Roman" w:eastAsia="Times New Roman" w:hAnsi="Times New Roman" w:cs="Times New Roman"/>
                <w:color w:val="000000"/>
                <w:sz w:val="23"/>
                <w:szCs w:val="23"/>
                <w:lang w:val="kk-KZ"/>
              </w:rPr>
              <w:t>РОТАВЕК вакцинасын инъекциялық жолмен енгізуге болмайды, ешқандай жағдайда да.</w:t>
            </w:r>
          </w:p>
          <w:p w:rsidR="001C6F99"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C6F99">
              <w:rPr>
                <w:rFonts w:ascii="Times New Roman" w:eastAsia="Times New Roman" w:hAnsi="Times New Roman" w:cs="Times New Roman"/>
                <w:color w:val="000000"/>
                <w:sz w:val="23"/>
                <w:szCs w:val="23"/>
              </w:rPr>
              <w:t xml:space="preserve">Вакцина </w:t>
            </w:r>
            <w:proofErr w:type="spellStart"/>
            <w:r w:rsidRPr="001C6F99">
              <w:rPr>
                <w:rFonts w:ascii="Times New Roman" w:eastAsia="Times New Roman" w:hAnsi="Times New Roman" w:cs="Times New Roman"/>
                <w:color w:val="000000"/>
                <w:sz w:val="23"/>
                <w:szCs w:val="23"/>
              </w:rPr>
              <w:t>құрамында</w:t>
            </w:r>
            <w:proofErr w:type="spellEnd"/>
            <w:r w:rsidRPr="001C6F99">
              <w:rPr>
                <w:rFonts w:ascii="Times New Roman" w:eastAsia="Times New Roman" w:hAnsi="Times New Roman" w:cs="Times New Roman"/>
                <w:color w:val="000000"/>
                <w:sz w:val="23"/>
                <w:szCs w:val="23"/>
              </w:rPr>
              <w:t xml:space="preserve"> </w:t>
            </w:r>
            <w:proofErr w:type="spellStart"/>
            <w:r w:rsidRPr="001C6F99">
              <w:rPr>
                <w:rFonts w:ascii="Times New Roman" w:eastAsia="Times New Roman" w:hAnsi="Times New Roman" w:cs="Times New Roman"/>
                <w:color w:val="000000"/>
                <w:sz w:val="23"/>
                <w:szCs w:val="23"/>
              </w:rPr>
              <w:t>қос</w:t>
            </w:r>
            <w:r>
              <w:rPr>
                <w:rFonts w:ascii="Times New Roman" w:eastAsia="Times New Roman" w:hAnsi="Times New Roman" w:cs="Times New Roman"/>
                <w:color w:val="000000"/>
                <w:sz w:val="23"/>
                <w:szCs w:val="23"/>
              </w:rPr>
              <w:t>ымша</w:t>
            </w:r>
            <w:proofErr w:type="spellEnd"/>
            <w:r>
              <w:rPr>
                <w:rFonts w:ascii="Times New Roman" w:eastAsia="Times New Roman" w:hAnsi="Times New Roman" w:cs="Times New Roman"/>
                <w:color w:val="000000"/>
                <w:sz w:val="23"/>
                <w:szCs w:val="23"/>
              </w:rPr>
              <w:t xml:space="preserve"> </w:t>
            </w:r>
            <w:proofErr w:type="spellStart"/>
            <w:proofErr w:type="gramStart"/>
            <w:r>
              <w:rPr>
                <w:rFonts w:ascii="Times New Roman" w:eastAsia="Times New Roman" w:hAnsi="Times New Roman" w:cs="Times New Roman"/>
                <w:color w:val="000000"/>
                <w:sz w:val="23"/>
                <w:szCs w:val="23"/>
              </w:rPr>
              <w:t>зат</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рет</w:t>
            </w:r>
            <w:proofErr w:type="gramEnd"/>
            <w:r>
              <w:rPr>
                <w:rFonts w:ascii="Times New Roman" w:eastAsia="Times New Roman" w:hAnsi="Times New Roman" w:cs="Times New Roman"/>
                <w:color w:val="000000"/>
                <w:sz w:val="23"/>
                <w:szCs w:val="23"/>
              </w:rPr>
              <w:t>інде</w:t>
            </w:r>
            <w:proofErr w:type="spellEnd"/>
            <w:r>
              <w:rPr>
                <w:rFonts w:ascii="Times New Roman" w:eastAsia="Times New Roman" w:hAnsi="Times New Roman" w:cs="Times New Roman"/>
                <w:color w:val="000000"/>
                <w:sz w:val="23"/>
                <w:szCs w:val="23"/>
              </w:rPr>
              <w:t xml:space="preserve"> сахароза бар.</w:t>
            </w:r>
          </w:p>
          <w:p w:rsidR="001C6F99" w:rsidRPr="001C6F99"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C6F99">
              <w:rPr>
                <w:rFonts w:ascii="Times New Roman" w:eastAsia="Times New Roman" w:hAnsi="Times New Roman" w:cs="Times New Roman"/>
                <w:color w:val="000000"/>
                <w:sz w:val="23"/>
                <w:szCs w:val="23"/>
                <w:lang w:val="kk-KZ"/>
              </w:rPr>
              <w:t>Фруктозаны  көтере алмайтындығы, глюкоза мен галактоза мальабсорбциясы немесе сахаразды-изомальтазды жеткіліксіздігі сирек тұқым қуалайтын бұзылулары бар емделушілерге осы вакцинаны қолдануға болмайды.</w:t>
            </w:r>
          </w:p>
          <w:p w:rsidR="001C6F99" w:rsidRPr="00C401C6"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C401C6">
              <w:rPr>
                <w:rFonts w:ascii="Times New Roman" w:eastAsia="Times New Roman" w:hAnsi="Times New Roman" w:cs="Times New Roman"/>
                <w:color w:val="000000"/>
                <w:sz w:val="23"/>
                <w:szCs w:val="23"/>
                <w:lang w:val="kk-KZ"/>
              </w:rPr>
              <w:t xml:space="preserve">Жүктілік және лактация кезінде </w:t>
            </w:r>
          </w:p>
          <w:p w:rsidR="001C6F99"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C401C6">
              <w:rPr>
                <w:rFonts w:ascii="Times New Roman" w:eastAsia="Times New Roman" w:hAnsi="Times New Roman" w:cs="Times New Roman"/>
                <w:color w:val="000000"/>
                <w:sz w:val="23"/>
                <w:szCs w:val="23"/>
                <w:lang w:val="kk-KZ"/>
              </w:rPr>
              <w:t>РОТАВЕК вакцинасы жүкті әйелдерді қоса алғанда, ересектерде қолдануға арналмаған. Клиникалық сынақтар кезінде емшекпен емізуге рұқсат етілген, оның  ротавирустық гастроэнтериттен РОТАВАК енгізген кезде қорғанысқа әсер етпейтіні анықталған.</w:t>
            </w:r>
          </w:p>
          <w:p w:rsidR="001C6F99"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C6F99">
              <w:rPr>
                <w:rFonts w:ascii="Times New Roman" w:eastAsia="Times New Roman" w:hAnsi="Times New Roman" w:cs="Times New Roman"/>
                <w:color w:val="000000"/>
                <w:sz w:val="23"/>
                <w:szCs w:val="23"/>
                <w:lang w:val="kk-KZ"/>
              </w:rPr>
              <w:t>Көлік құралын және басқа да қауіпті механизмдерді басқару  қа</w:t>
            </w:r>
            <w:r>
              <w:rPr>
                <w:rFonts w:ascii="Times New Roman" w:eastAsia="Times New Roman" w:hAnsi="Times New Roman" w:cs="Times New Roman"/>
                <w:color w:val="000000"/>
                <w:sz w:val="23"/>
                <w:szCs w:val="23"/>
                <w:lang w:val="kk-KZ"/>
              </w:rPr>
              <w:t>білетіне әсер ету ерекшеліктері</w:t>
            </w:r>
          </w:p>
          <w:p w:rsidR="001F65F2" w:rsidRPr="001C6F99"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C401C6">
              <w:rPr>
                <w:rFonts w:ascii="Times New Roman" w:eastAsia="Times New Roman" w:hAnsi="Times New Roman" w:cs="Times New Roman"/>
                <w:color w:val="000000"/>
                <w:sz w:val="23"/>
                <w:szCs w:val="23"/>
                <w:lang w:val="kk-KZ"/>
              </w:rPr>
              <w:t>Вакцинациялауға жататын адамдар санатына қолданылмайды.</w:t>
            </w:r>
          </w:p>
        </w:tc>
      </w:tr>
      <w:tr w:rsidR="001C6F99" w:rsidRPr="00131978" w:rsidTr="001C6F99">
        <w:trPr>
          <w:cantSplit/>
          <w:trHeight w:hRule="exact" w:val="42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6F99" w:rsidRPr="001C6F99" w:rsidRDefault="001C6F99">
            <w:pPr>
              <w:spacing w:line="240" w:lineRule="exact"/>
              <w:rPr>
                <w:sz w:val="24"/>
                <w:szCs w:val="24"/>
                <w:lang w:val="kk-KZ"/>
              </w:rPr>
            </w:pPr>
            <w:r>
              <w:rPr>
                <w:sz w:val="24"/>
                <w:szCs w:val="24"/>
                <w:lang w:val="kk-KZ"/>
              </w:rPr>
              <w:t>2.5</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6F99" w:rsidRDefault="001C6F99">
            <w:pPr>
              <w:widowControl w:val="0"/>
              <w:spacing w:before="3" w:line="240" w:lineRule="auto"/>
              <w:ind w:left="60" w:right="-20"/>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 xml:space="preserve">Фармакологиялық қадағалау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6F99" w:rsidRPr="001C6F99"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p>
        </w:tc>
      </w:tr>
      <w:tr w:rsidR="001C6F99" w:rsidRPr="00C401C6" w:rsidTr="00712BFA">
        <w:trPr>
          <w:cantSplit/>
          <w:trHeight w:hRule="exact" w:val="1262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6F99" w:rsidRDefault="001C6F99">
            <w:pPr>
              <w:spacing w:line="240" w:lineRule="exact"/>
              <w:rPr>
                <w:sz w:val="24"/>
                <w:szCs w:val="24"/>
                <w:lang w:val="kk-KZ"/>
              </w:rPr>
            </w:pP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6F99" w:rsidRDefault="001C6F99">
            <w:pPr>
              <w:widowControl w:val="0"/>
              <w:spacing w:before="3" w:line="240" w:lineRule="auto"/>
              <w:ind w:left="60" w:right="-20"/>
              <w:rPr>
                <w:rFonts w:ascii="Times New Roman" w:eastAsia="Times New Roman" w:hAnsi="Times New Roman" w:cs="Times New Roman"/>
                <w:color w:val="000000"/>
                <w:spacing w:val="2"/>
                <w:sz w:val="23"/>
                <w:szCs w:val="23"/>
                <w:lang w:val="kk-KZ"/>
              </w:rPr>
            </w:pPr>
            <w:r w:rsidRPr="001C6F99">
              <w:rPr>
                <w:rFonts w:ascii="Times New Roman" w:eastAsia="Times New Roman" w:hAnsi="Times New Roman" w:cs="Times New Roman"/>
                <w:color w:val="000000"/>
                <w:spacing w:val="2"/>
                <w:sz w:val="23"/>
                <w:szCs w:val="23"/>
                <w:lang w:val="kk-KZ"/>
              </w:rPr>
              <w:t>Фармакологиялық қадағалау жүйесін сипаттау</w:t>
            </w:r>
          </w:p>
          <w:p w:rsidR="001C6F99" w:rsidRDefault="001C6F99">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1C6F99" w:rsidRDefault="001C6F99">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P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r w:rsidRPr="00712BFA">
              <w:rPr>
                <w:rFonts w:ascii="Times New Roman" w:eastAsia="Times New Roman" w:hAnsi="Times New Roman" w:cs="Times New Roman"/>
                <w:color w:val="000000"/>
                <w:spacing w:val="2"/>
                <w:sz w:val="23"/>
                <w:szCs w:val="23"/>
                <w:lang w:val="kk-KZ"/>
              </w:rPr>
              <w:tab/>
              <w:t xml:space="preserve">  </w:t>
            </w: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712BFA"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p>
          <w:p w:rsidR="001C6F99" w:rsidRDefault="00712BFA" w:rsidP="00712BFA">
            <w:pPr>
              <w:widowControl w:val="0"/>
              <w:spacing w:before="3" w:line="240" w:lineRule="auto"/>
              <w:ind w:left="60" w:right="-20"/>
              <w:rPr>
                <w:rFonts w:ascii="Times New Roman" w:eastAsia="Times New Roman" w:hAnsi="Times New Roman" w:cs="Times New Roman"/>
                <w:color w:val="000000"/>
                <w:spacing w:val="2"/>
                <w:sz w:val="23"/>
                <w:szCs w:val="23"/>
                <w:lang w:val="kk-KZ"/>
              </w:rPr>
            </w:pPr>
            <w:r w:rsidRPr="00712BFA">
              <w:rPr>
                <w:rFonts w:ascii="Times New Roman" w:eastAsia="Times New Roman" w:hAnsi="Times New Roman" w:cs="Times New Roman"/>
                <w:color w:val="000000"/>
                <w:spacing w:val="2"/>
                <w:sz w:val="23"/>
                <w:szCs w:val="23"/>
                <w:lang w:val="kk-KZ"/>
              </w:rPr>
              <w:t>Клиникаға дейінгі аспектілері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31978" w:rsidRPr="00131978" w:rsidRDefault="00131978" w:rsidP="00131978">
            <w:pPr>
              <w:widowControl w:val="0"/>
              <w:spacing w:before="3" w:line="240" w:lineRule="auto"/>
              <w:ind w:left="60" w:right="17"/>
              <w:jc w:val="both"/>
              <w:rPr>
                <w:rFonts w:ascii="Times New Roman" w:eastAsia="Times New Roman" w:hAnsi="Times New Roman" w:cs="Times New Roman"/>
                <w:color w:val="000000"/>
                <w:sz w:val="23"/>
                <w:szCs w:val="23"/>
                <w:lang w:val="kk-KZ"/>
              </w:rPr>
            </w:pPr>
          </w:p>
          <w:p w:rsidR="00131978" w:rsidRPr="00131978" w:rsidRDefault="00131978" w:rsidP="00131978">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31978">
              <w:rPr>
                <w:rFonts w:ascii="Times New Roman" w:eastAsia="Times New Roman" w:hAnsi="Times New Roman" w:cs="Times New Roman"/>
                <w:color w:val="000000"/>
                <w:sz w:val="23"/>
                <w:szCs w:val="23"/>
                <w:lang w:val="kk-KZ"/>
              </w:rPr>
              <w:t xml:space="preserve">"Bharat Biotech International Limited" өндіруші және тіркеу куәлігінің  иесі ретінде фармакоқадағалау жүйесін үнемі  өзекті ретінде қолдайды. "Bharat Biotech International Limited" бас кеңсесі  500 078, Үндістан, Шамирпет Мандал, Геном алқабында,  Теланганның  Ранг Редди ауданында орналасқан </w:t>
            </w:r>
          </w:p>
          <w:p w:rsidR="00131978" w:rsidRPr="00131978" w:rsidRDefault="00131978" w:rsidP="00131978">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31978">
              <w:rPr>
                <w:rFonts w:ascii="Times New Roman" w:eastAsia="Times New Roman" w:hAnsi="Times New Roman" w:cs="Times New Roman"/>
                <w:color w:val="000000"/>
                <w:sz w:val="23"/>
                <w:szCs w:val="23"/>
                <w:lang w:val="kk-KZ"/>
              </w:rPr>
              <w:t>Бұл фармакологиялық қадағалау жүйесі біздің зауыт шығаратын барлық вакциналарға таралады. Осы вакциналардың қауіпсіздігін талдауды кәсіпорындағы фармакологиялық қауіпсіздікке жауапты тұлға орындайды."Bharat Biotech International Limited" негізгі мақсаты құтырмаға, іш сүзегіне, полиомиелитке, дифтерияға, сіреспеге, көкжөтелге, Б гепатитіне және басқа да ауруларға қарсы вакциналарды өндіру, препараттарды өндіруші елде, сондай-ақ алыс және жақын шет елдерде тіркеу болып табылады. Кәсіпорын аумағында әкімшілік үй-жайлар, зауыттар, өндірістік шикізатты ,буып-түю материалдары мен дайын өнімді сақтауға арналған қойма үй-жайлары, дайын өнімді карантиндік сақтау қоймасы, зертханалар, офистік үй-жайлар, өндірістік үй-жайлар, персонал мен сервистік қызметке арналған үй-жайлар орналасқан.</w:t>
            </w:r>
          </w:p>
          <w:p w:rsidR="00131978" w:rsidRPr="00131978" w:rsidRDefault="00131978" w:rsidP="00131978">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31978">
              <w:rPr>
                <w:rFonts w:ascii="Times New Roman" w:eastAsia="Times New Roman" w:hAnsi="Times New Roman" w:cs="Times New Roman"/>
                <w:color w:val="000000"/>
                <w:sz w:val="23"/>
                <w:szCs w:val="23"/>
                <w:lang w:val="kk-KZ"/>
              </w:rPr>
              <w:t>"Bharat Biotech International Limited" фармакологиялық қадағалау қызметі Үндістан, Геном алқабы, Шамирпет Мандал, ранг Редди ауданы, Теланган, 500 078 мекенжайы бойынша жүзеге асырылады. "Bharat Biotech International Limited" фармакоқадағалау жүйесі өндірілетін вакциналардың сапасы мен қауіпсіздігі үшін кәсіпорынның жауапкершілігін арттыру, сондай-ақ олардың қауіпсіздігін арттыруға бағытталған шараларды уақтылы қабылдау мақсатында әзірленді, енгізілді және жұмыс жағдайында ұсталады.</w:t>
            </w:r>
          </w:p>
          <w:p w:rsidR="00131978" w:rsidRPr="00131978" w:rsidRDefault="00131978" w:rsidP="00131978">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31978">
              <w:rPr>
                <w:rFonts w:ascii="Times New Roman" w:eastAsia="Times New Roman" w:hAnsi="Times New Roman" w:cs="Times New Roman"/>
                <w:color w:val="000000"/>
                <w:sz w:val="23"/>
                <w:szCs w:val="23"/>
                <w:lang w:val="kk-KZ"/>
              </w:rPr>
              <w:t xml:space="preserve">Кәсіпорында Фармакологиялық қадағалау жөніндегі  уәкілетті тұлғамен,  Фармакологиялық қадағалау жөніндегі  уәкілетті тұлғаның орынбасарымен  және Фармакологиялық қадағалау жөніндегі  байланысушы уәкілетті тұлғамен </w:t>
            </w:r>
          </w:p>
          <w:p w:rsidR="00131978" w:rsidRPr="00131978" w:rsidRDefault="00131978" w:rsidP="00131978">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31978">
              <w:rPr>
                <w:rFonts w:ascii="Times New Roman" w:eastAsia="Times New Roman" w:hAnsi="Times New Roman" w:cs="Times New Roman"/>
                <w:color w:val="000000"/>
                <w:sz w:val="23"/>
                <w:szCs w:val="23"/>
                <w:lang w:val="kk-KZ"/>
              </w:rPr>
              <w:t xml:space="preserve">телефон және электрондық пошта арқылы аптасына 7 күн  24-ші сағат  бойына байланысу мүмкіндігі ұйымдастырылған. </w:t>
            </w:r>
          </w:p>
          <w:p w:rsidR="001C6F99" w:rsidRDefault="00131978" w:rsidP="00131978">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31978">
              <w:rPr>
                <w:rFonts w:ascii="Times New Roman" w:eastAsia="Times New Roman" w:hAnsi="Times New Roman" w:cs="Times New Roman"/>
                <w:color w:val="000000"/>
                <w:sz w:val="23"/>
                <w:szCs w:val="23"/>
                <w:lang w:val="kk-KZ"/>
              </w:rPr>
              <w:t>Фармакоқадағалау жөніндегі уәкілетті тұлға Үндістанның реттеуші органына, сондай-ақ басқа елдердің реттеуші органдарына тіркелген жағымсыз реакциялар туралы ақпарат береді, заңнамаға сәйкес Үндістанның уәкілетті реттеуші органдарына және басқа елдердің реттеуші органдарына жіберілген жағымсыз реакциялар/құбылыстар туралы барлық қажетті ақпараттың мұрағаттық көшірмелерінің сақталуын және қол сұғылмауын қамтамасыз етеді.</w:t>
            </w:r>
          </w:p>
          <w:p w:rsidR="00712BFA" w:rsidRDefault="00712BFA" w:rsidP="00131978">
            <w:pPr>
              <w:widowControl w:val="0"/>
              <w:spacing w:before="3" w:line="240" w:lineRule="auto"/>
              <w:ind w:left="60" w:right="17"/>
              <w:jc w:val="both"/>
              <w:rPr>
                <w:rFonts w:ascii="Times New Roman" w:eastAsia="Times New Roman" w:hAnsi="Times New Roman" w:cs="Times New Roman"/>
                <w:color w:val="000000"/>
                <w:sz w:val="23"/>
                <w:szCs w:val="23"/>
                <w:lang w:val="kk-KZ"/>
              </w:rPr>
            </w:pPr>
          </w:p>
          <w:p w:rsidR="00712BFA" w:rsidRDefault="00712BFA" w:rsidP="00131978">
            <w:pPr>
              <w:widowControl w:val="0"/>
              <w:spacing w:before="3" w:line="240" w:lineRule="auto"/>
              <w:ind w:left="60" w:right="17"/>
              <w:jc w:val="both"/>
              <w:rPr>
                <w:rFonts w:ascii="Times New Roman" w:eastAsia="Times New Roman" w:hAnsi="Times New Roman" w:cs="Times New Roman"/>
                <w:color w:val="000000"/>
                <w:sz w:val="23"/>
                <w:szCs w:val="23"/>
                <w:lang w:val="kk-KZ"/>
              </w:rPr>
            </w:pPr>
          </w:p>
          <w:p w:rsidR="00712BFA" w:rsidRDefault="00712BFA" w:rsidP="00131978">
            <w:pPr>
              <w:widowControl w:val="0"/>
              <w:spacing w:before="3" w:line="240" w:lineRule="auto"/>
              <w:ind w:left="60" w:right="17"/>
              <w:jc w:val="both"/>
              <w:rPr>
                <w:rFonts w:ascii="Times New Roman" w:eastAsia="Times New Roman" w:hAnsi="Times New Roman" w:cs="Times New Roman"/>
                <w:color w:val="000000"/>
                <w:sz w:val="23"/>
                <w:szCs w:val="23"/>
                <w:lang w:val="kk-KZ"/>
              </w:rPr>
            </w:pPr>
          </w:p>
          <w:p w:rsidR="00712BFA" w:rsidRPr="001C6F99" w:rsidRDefault="00712BFA" w:rsidP="00131978">
            <w:pPr>
              <w:widowControl w:val="0"/>
              <w:spacing w:before="3" w:line="240" w:lineRule="auto"/>
              <w:ind w:left="60" w:right="17"/>
              <w:jc w:val="both"/>
              <w:rPr>
                <w:rFonts w:ascii="Times New Roman" w:eastAsia="Times New Roman" w:hAnsi="Times New Roman" w:cs="Times New Roman"/>
                <w:color w:val="000000"/>
                <w:sz w:val="23"/>
                <w:szCs w:val="23"/>
                <w:lang w:val="kk-KZ"/>
              </w:rPr>
            </w:pPr>
          </w:p>
        </w:tc>
      </w:tr>
      <w:tr w:rsidR="001C6F99" w:rsidTr="001C6F99">
        <w:trPr>
          <w:cantSplit/>
          <w:trHeight w:hRule="exact" w:val="57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6F99" w:rsidRDefault="001C6F99">
            <w:pPr>
              <w:spacing w:line="240" w:lineRule="exact"/>
              <w:rPr>
                <w:sz w:val="24"/>
                <w:szCs w:val="24"/>
                <w:lang w:val="kk-KZ"/>
              </w:rPr>
            </w:pPr>
            <w:r>
              <w:rPr>
                <w:sz w:val="24"/>
                <w:szCs w:val="24"/>
                <w:lang w:val="kk-KZ"/>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6F99" w:rsidRPr="001C6F99" w:rsidRDefault="001C6F99">
            <w:pPr>
              <w:widowControl w:val="0"/>
              <w:spacing w:before="3" w:line="240" w:lineRule="auto"/>
              <w:ind w:left="60" w:right="-20"/>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C6F99" w:rsidRPr="001C6F99" w:rsidRDefault="001C6F99" w:rsidP="001C6F99">
            <w:pPr>
              <w:widowControl w:val="0"/>
              <w:spacing w:before="3" w:line="240" w:lineRule="auto"/>
              <w:ind w:left="60" w:right="17"/>
              <w:jc w:val="both"/>
              <w:rPr>
                <w:rFonts w:ascii="Times New Roman" w:eastAsia="Times New Roman" w:hAnsi="Times New Roman" w:cs="Times New Roman"/>
                <w:color w:val="000000"/>
                <w:sz w:val="23"/>
                <w:szCs w:val="23"/>
                <w:lang w:val="kk-KZ"/>
              </w:rPr>
            </w:pPr>
            <w:r w:rsidRPr="001C6F99">
              <w:rPr>
                <w:rFonts w:ascii="Times New Roman" w:eastAsia="Times New Roman" w:hAnsi="Times New Roman" w:cs="Times New Roman"/>
                <w:color w:val="000000"/>
                <w:sz w:val="23"/>
                <w:szCs w:val="23"/>
                <w:lang w:val="kk-KZ"/>
              </w:rPr>
              <w:t xml:space="preserve">Рецепт арқылы (тек мамандандырылған мекемелерге арналған)  </w:t>
            </w:r>
          </w:p>
        </w:tc>
      </w:tr>
    </w:tbl>
    <w:p w:rsidR="001F65F2" w:rsidRPr="001C6F99" w:rsidRDefault="001F65F2">
      <w:pPr>
        <w:rPr>
          <w:lang w:val="kk-KZ"/>
        </w:rPr>
        <w:sectPr w:rsidR="001F65F2" w:rsidRPr="001C6F99">
          <w:pgSz w:w="11905" w:h="16837"/>
          <w:pgMar w:top="560" w:right="850" w:bottom="500" w:left="1133" w:header="0" w:footer="0" w:gutter="0"/>
          <w:cols w:space="708"/>
        </w:sectPr>
      </w:pPr>
    </w:p>
    <w:p w:rsidR="001F65F2" w:rsidRPr="001902A0" w:rsidRDefault="001F65F2">
      <w:pPr>
        <w:rPr>
          <w:lang w:val="kk-KZ"/>
        </w:rPr>
      </w:pPr>
    </w:p>
    <w:sectPr w:rsidR="001F65F2" w:rsidRPr="001902A0">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F2"/>
    <w:rsid w:val="0000737C"/>
    <w:rsid w:val="00124891"/>
    <w:rsid w:val="00131978"/>
    <w:rsid w:val="001466D6"/>
    <w:rsid w:val="001902A0"/>
    <w:rsid w:val="001C6F99"/>
    <w:rsid w:val="001D23B4"/>
    <w:rsid w:val="001F65F2"/>
    <w:rsid w:val="002A2550"/>
    <w:rsid w:val="002A5F49"/>
    <w:rsid w:val="00335593"/>
    <w:rsid w:val="00381E82"/>
    <w:rsid w:val="003A4C77"/>
    <w:rsid w:val="00510A96"/>
    <w:rsid w:val="006A6A37"/>
    <w:rsid w:val="0070214E"/>
    <w:rsid w:val="00712BFA"/>
    <w:rsid w:val="008000B1"/>
    <w:rsid w:val="0094765F"/>
    <w:rsid w:val="00AF2C45"/>
    <w:rsid w:val="00C401C6"/>
    <w:rsid w:val="00CF71D7"/>
    <w:rsid w:val="00DE4932"/>
    <w:rsid w:val="00E27279"/>
    <w:rsid w:val="00EE3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Нурхадыров Бакытжан Нурланович</cp:lastModifiedBy>
  <cp:revision>3</cp:revision>
  <dcterms:created xsi:type="dcterms:W3CDTF">2019-05-29T12:10:00Z</dcterms:created>
  <dcterms:modified xsi:type="dcterms:W3CDTF">2019-06-19T10:50:00Z</dcterms:modified>
</cp:coreProperties>
</file>