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5F" w:rsidRPr="0052529A" w:rsidRDefault="0081775F" w:rsidP="0081775F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81775F" w:rsidRPr="0052529A" w:rsidRDefault="0081775F" w:rsidP="0081775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1775F" w:rsidRPr="0052529A" w:rsidRDefault="0081775F" w:rsidP="0081775F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1775F" w:rsidRPr="0052529A" w:rsidRDefault="0081775F" w:rsidP="0081775F">
      <w:pPr>
        <w:rPr>
          <w:rFonts w:ascii="Times New Roman" w:hAnsi="Times New Roman" w:cs="Times New Roman"/>
          <w:sz w:val="28"/>
          <w:szCs w:val="28"/>
        </w:rPr>
        <w:sectPr w:rsidR="0081775F" w:rsidRPr="0052529A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8A7FDD" w:rsidRPr="0052529A" w:rsidRDefault="0081775F" w:rsidP="0081775F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25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525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525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25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25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525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252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25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525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5252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252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525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25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="00102223" w:rsidRPr="0052529A">
        <w:rPr>
          <w:rFonts w:ascii="Times New Roman" w:hAnsi="Times New Roman" w:cs="Times New Roman"/>
          <w:sz w:val="28"/>
          <w:szCs w:val="28"/>
        </w:rPr>
        <w:br w:type="column"/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02223"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102223"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102223"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102223"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="00102223"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02223" w:rsidRPr="005252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="00102223"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="00102223"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02223"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="00102223"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102223"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="00102223"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02223"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102223"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02223"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2223"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02223"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02223" w:rsidRPr="00525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102223"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102223"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02223" w:rsidRPr="00525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02223"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102223"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102223" w:rsidRPr="005252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02223"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102223"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102223"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="00102223"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="00102223" w:rsidRPr="00525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02223"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2223" w:rsidRPr="00525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 w:rsidR="00102223" w:rsidRPr="00525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102223" w:rsidRPr="00525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="00102223" w:rsidRPr="005252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8A7FDD" w:rsidRPr="0052529A" w:rsidRDefault="008A7FDD">
      <w:pPr>
        <w:rPr>
          <w:rFonts w:ascii="Times New Roman" w:hAnsi="Times New Roman" w:cs="Times New Roman"/>
          <w:sz w:val="28"/>
          <w:szCs w:val="28"/>
        </w:rPr>
        <w:sectPr w:rsidR="008A7FDD" w:rsidRPr="0052529A">
          <w:type w:val="continuous"/>
          <w:pgSz w:w="11905" w:h="16837"/>
          <w:pgMar w:top="563" w:right="850" w:bottom="568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8A7FDD" w:rsidRPr="0052529A" w:rsidRDefault="008A7FDD">
      <w:pPr>
        <w:spacing w:after="16" w:line="140" w:lineRule="exact"/>
        <w:rPr>
          <w:rFonts w:ascii="Times New Roman" w:hAnsi="Times New Roman" w:cs="Times New Roman"/>
          <w:sz w:val="28"/>
          <w:szCs w:val="28"/>
        </w:rPr>
      </w:pPr>
    </w:p>
    <w:p w:rsidR="0081775F" w:rsidRPr="0052529A" w:rsidRDefault="0081775F" w:rsidP="0081775F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52529A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8A7FDD" w:rsidRPr="0052529A" w:rsidRDefault="008A7FDD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8A7FDD" w:rsidRPr="0052529A" w:rsidRDefault="008A7FDD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8A7FDD" w:rsidRPr="0052529A" w:rsidRDefault="008A7FDD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8A7FDD" w:rsidRPr="0052529A" w:rsidRDefault="008A7FDD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8A7FDD" w:rsidRPr="0052529A" w:rsidRDefault="008A7FDD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8A7FDD" w:rsidRPr="0052529A" w:rsidRDefault="008A7FDD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8A7FDD" w:rsidRPr="0052529A" w:rsidRDefault="008A7FDD">
      <w:pPr>
        <w:spacing w:after="7" w:line="12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5C385C" w:rsidRPr="0052529A" w:rsidRDefault="00102223" w:rsidP="005C385C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52529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618" behindDoc="1" locked="0" layoutInCell="0" allowOverlap="1" wp14:anchorId="2E0203C5" wp14:editId="1E57683F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8A7FDD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A7FDD" w:rsidRDefault="00276F37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A7FDD" w:rsidRDefault="008A7FDD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A7FDD" w:rsidRDefault="00102223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ну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3"/>
                                      <w:szCs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proofErr w:type="spellEnd"/>
                                </w:p>
                              </w:tc>
                            </w:tr>
                            <w:tr w:rsidR="008A7FDD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A7FDD" w:rsidRDefault="00276F3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A7FDD" w:rsidRPr="00276F37" w:rsidRDefault="00102223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ФА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АП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276F3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ЖШС</w:t>
                                  </w:r>
                                </w:p>
                              </w:tc>
                            </w:tr>
                            <w:tr w:rsidR="008A7FDD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A7FDD" w:rsidRPr="005C385C" w:rsidRDefault="005C385C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A7FDD" w:rsidRPr="005C385C" w:rsidRDefault="00102223" w:rsidP="005C385C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 w:rsidR="005C38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РЕСПУБЛИКАСЫ</w:t>
                                  </w:r>
                                </w:p>
                              </w:tc>
                            </w:tr>
                          </w:tbl>
                          <w:p w:rsidR="00D63882" w:rsidRDefault="00D63882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8A7FDD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A7FDD" w:rsidRDefault="00276F37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A7FDD" w:rsidRDefault="008A7FDD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A7FDD" w:rsidRDefault="00102223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ну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</w:t>
                            </w:r>
                            <w:proofErr w:type="spellEnd"/>
                          </w:p>
                        </w:tc>
                      </w:tr>
                      <w:tr w:rsidR="008A7FDD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A7FDD" w:rsidRDefault="00276F3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A7FDD" w:rsidRPr="00276F37" w:rsidRDefault="00102223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ФА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АП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76F3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ЖШС</w:t>
                            </w:r>
                          </w:p>
                        </w:tc>
                      </w:tr>
                      <w:tr w:rsidR="008A7FDD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A7FDD" w:rsidRPr="005C385C" w:rsidRDefault="005C385C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A7FDD" w:rsidRPr="005C385C" w:rsidRDefault="00102223" w:rsidP="005C385C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 w:rsidR="005C38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 xml:space="preserve"> РЕСПУБЛИКАСЫ</w:t>
                            </w:r>
                          </w:p>
                        </w:tc>
                      </w:tr>
                    </w:tbl>
                    <w:p w:rsidR="00D63882" w:rsidRDefault="00D63882"/>
                  </w:txbxContent>
                </v:textbox>
                <w10:wrap anchorx="page"/>
              </v:shape>
            </w:pict>
          </mc:Fallback>
        </mc:AlternateContent>
      </w:r>
      <w:r w:rsidR="005C385C" w:rsidRPr="0052529A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="005C385C" w:rsidRPr="0052529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8A7FDD" w:rsidRPr="0052529A" w:rsidRDefault="008A7FDD" w:rsidP="005C385C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8A7FDD" w:rsidRPr="0052529A" w:rsidRDefault="008A7FDD">
      <w:pPr>
        <w:spacing w:after="2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8A7FDD" w:rsidRPr="0052529A" w:rsidRDefault="00102223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52529A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1</w:t>
      </w:r>
      <w:r w:rsidRPr="0052529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52529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C385C" w:rsidRPr="0052529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8A7FDD" w:rsidRPr="0052529A" w:rsidRDefault="008A7FDD">
      <w:pPr>
        <w:spacing w:after="5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8A7FDD" w:rsidRPr="0052529A" w:rsidTr="005C385C">
        <w:trPr>
          <w:cantSplit/>
          <w:trHeight w:hRule="exact" w:val="6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10222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5C385C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8A7FDD" w:rsidRPr="0052529A" w:rsidRDefault="008A7FDD">
      <w:pPr>
        <w:spacing w:after="3" w:line="220" w:lineRule="exact"/>
        <w:rPr>
          <w:rFonts w:ascii="Times New Roman" w:hAnsi="Times New Roman" w:cs="Times New Roman"/>
          <w:sz w:val="28"/>
          <w:szCs w:val="28"/>
        </w:rPr>
      </w:pPr>
    </w:p>
    <w:p w:rsidR="008A7FDD" w:rsidRPr="0052529A" w:rsidRDefault="00102223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52529A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2</w:t>
      </w:r>
      <w:r w:rsidRPr="0052529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52529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C385C" w:rsidRPr="0052529A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8A7FDD" w:rsidRPr="0052529A" w:rsidRDefault="008A7FDD">
      <w:pPr>
        <w:spacing w:line="32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8A7FDD" w:rsidRPr="0052529A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10222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5C385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8A7FDD" w:rsidRPr="0052529A">
        <w:trPr>
          <w:cantSplit/>
          <w:trHeight w:hRule="exact" w:val="34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8A7F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DD" w:rsidRPr="0052529A" w:rsidRDefault="008A7F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DD" w:rsidRPr="0052529A" w:rsidRDefault="008A7F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DD" w:rsidRPr="0052529A" w:rsidRDefault="008A7F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DD" w:rsidRPr="0052529A" w:rsidRDefault="008A7F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DD" w:rsidRPr="0052529A" w:rsidRDefault="008A7F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DD" w:rsidRPr="0052529A" w:rsidRDefault="008A7FDD">
            <w:pPr>
              <w:spacing w:after="18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DD" w:rsidRPr="0052529A" w:rsidRDefault="0010222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trial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5C385C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85C" w:rsidRPr="0052529A" w:rsidRDefault="005C385C" w:rsidP="005C385C">
            <w:pPr>
              <w:widowControl w:val="0"/>
              <w:tabs>
                <w:tab w:val="left" w:pos="1299"/>
                <w:tab w:val="left" w:pos="1646"/>
                <w:tab w:val="left" w:pos="2056"/>
                <w:tab w:val="left" w:pos="2829"/>
                <w:tab w:val="left" w:pos="3929"/>
                <w:tab w:val="left" w:pos="4377"/>
                <w:tab w:val="left" w:pos="4862"/>
                <w:tab w:val="left" w:pos="5681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Б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ФС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физикалық-химиялық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қасиеттері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туралы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ақпарат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фармакопеялық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талаптарға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субстанциялардың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растау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үшін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жеткілікті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көлемде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 бі</w:t>
            </w:r>
            <w:proofErr w:type="gram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proofErr w:type="gram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ізді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сертификаттары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сапа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тұрақтылығын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өнімнің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біртектілігі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сериядан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сақталады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процесс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бақылауда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тұр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  <w:p w:rsidR="005C385C" w:rsidRPr="0052529A" w:rsidRDefault="005C385C" w:rsidP="005C385C">
            <w:pPr>
              <w:widowControl w:val="0"/>
              <w:tabs>
                <w:tab w:val="left" w:pos="1299"/>
                <w:tab w:val="left" w:pos="1646"/>
                <w:tab w:val="left" w:pos="2056"/>
                <w:tab w:val="left" w:pos="2829"/>
                <w:tab w:val="left" w:pos="3929"/>
                <w:tab w:val="left" w:pos="4377"/>
                <w:tab w:val="left" w:pos="4862"/>
                <w:tab w:val="left" w:pos="5681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8A7FDD" w:rsidRPr="0052529A" w:rsidRDefault="005C385C" w:rsidP="005C385C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деректер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субстанция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қолданылатын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әдістерінің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барабарлығын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толық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растайды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Б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ФС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дайын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өнімде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қолдану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үшін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ұсынылады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</w:tr>
      <w:tr w:rsidR="008A7FDD" w:rsidRPr="0052529A">
        <w:trPr>
          <w:cantSplit/>
          <w:trHeight w:hRule="exact" w:val="3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8A7F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DD" w:rsidRPr="0052529A" w:rsidRDefault="008A7F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DD" w:rsidRPr="0052529A" w:rsidRDefault="008A7F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DD" w:rsidRPr="0052529A" w:rsidRDefault="008A7F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DD" w:rsidRPr="0052529A" w:rsidRDefault="008A7F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DD" w:rsidRPr="0052529A" w:rsidRDefault="008A7F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DD" w:rsidRPr="0052529A" w:rsidRDefault="008A7FDD">
            <w:pPr>
              <w:spacing w:after="6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DD" w:rsidRPr="0052529A" w:rsidRDefault="0010222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5C385C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</w:t>
            </w:r>
            <w:proofErr w:type="spellEnd"/>
            <w:r w:rsidR="00EC48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5C385C">
            <w:pPr>
              <w:widowControl w:val="0"/>
              <w:tabs>
                <w:tab w:val="left" w:pos="521"/>
                <w:tab w:val="left" w:pos="1570"/>
                <w:tab w:val="left" w:pos="2209"/>
                <w:tab w:val="left" w:pos="2876"/>
                <w:tab w:val="left" w:pos="3685"/>
                <w:tab w:val="left" w:pos="4431"/>
                <w:tab w:val="left" w:pos="5189"/>
                <w:tab w:val="left" w:pos="6086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құрамында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аумағында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</w:t>
            </w:r>
            <w:proofErr w:type="gram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олдану</w:t>
            </w:r>
            <w:proofErr w:type="gram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тыйым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салынған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жоқ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бояғыштар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жануар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тектес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пайдаланылмайды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Барлық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заттардың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келеді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бұл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</w:t>
            </w:r>
            <w:proofErr w:type="gram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сертификаттарымен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расталған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жүргізілген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әзірлеу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барысында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іріктелді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таңдау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әрбір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заттың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функционалдық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мақсатына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негізделді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компоненттердің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үйлесімділігі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тұрақтылықты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зерделеу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жөніндегі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деректермен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расталды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A7FDD" w:rsidRPr="0052529A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10222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5C385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Дәрілік </w:t>
            </w:r>
            <w:r w:rsidR="00102223"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02223"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="00102223"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="00102223" w:rsidRPr="0052529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102223"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</w:tbl>
    <w:p w:rsidR="008A7FDD" w:rsidRPr="0052529A" w:rsidRDefault="008A7FDD">
      <w:pPr>
        <w:rPr>
          <w:rFonts w:ascii="Times New Roman" w:hAnsi="Times New Roman" w:cs="Times New Roman"/>
          <w:sz w:val="28"/>
          <w:szCs w:val="28"/>
        </w:rPr>
        <w:sectPr w:rsidR="008A7FDD" w:rsidRPr="0052529A">
          <w:type w:val="continuous"/>
          <w:pgSz w:w="11905" w:h="16837"/>
          <w:pgMar w:top="563" w:right="850" w:bottom="568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8A7FDD" w:rsidRPr="0052529A" w:rsidTr="00201519">
        <w:trPr>
          <w:cantSplit/>
          <w:trHeight w:hRule="exact" w:val="2845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8A7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20151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8A7FDD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DD" w:rsidRPr="0052529A" w:rsidRDefault="00201519" w:rsidP="00201519">
            <w:pPr>
              <w:widowControl w:val="0"/>
              <w:spacing w:line="240" w:lineRule="auto"/>
              <w:ind w:left="6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GMP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талаптарын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қанағаттандыратын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өнді</w:t>
            </w:r>
            <w:proofErr w:type="gram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proofErr w:type="gram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іс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процесінде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өндіріс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процесінің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толық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сипаттамасы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Валидациялық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сынақтардың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нәтижелері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өнді</w:t>
            </w:r>
            <w:proofErr w:type="gram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proofErr w:type="gram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істік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процесс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тұрақты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екенін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көрсетеді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дайын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өнімге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фирманың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өзіндік ерекшелігінің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барлық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параметрлері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бойынша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сәйкес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келетін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сериядан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серия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ғ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а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өнім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алуға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мүмкіндік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береді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</w:tr>
      <w:tr w:rsidR="008A7FDD" w:rsidRPr="0052529A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8A7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20151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519" w:rsidRPr="0052529A" w:rsidRDefault="00201519" w:rsidP="00201519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Ф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9.5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стандарттары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мен  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ICH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Q2, Q6, Q3</w:t>
            </w:r>
            <w:proofErr w:type="gram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proofErr w:type="gram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басшылығының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шеңберінде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ерекшеліктің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негіздемесі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препараттың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қолданылатын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әдістерінің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барабарлығын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  <w:p w:rsidR="00201519" w:rsidRPr="0052529A" w:rsidRDefault="00201519" w:rsidP="00201519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201519" w:rsidRPr="0052529A" w:rsidRDefault="00201519" w:rsidP="00201519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Талдамалық 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жүргізілген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валидациясының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нәтижелері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мәлімделген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дәрілік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заттың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рутиндік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үшін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қолдану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мүмкіндігін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растайды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  <w:p w:rsidR="00201519" w:rsidRPr="0052529A" w:rsidRDefault="00201519" w:rsidP="00201519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8A7FDD" w:rsidRPr="0052529A" w:rsidRDefault="00201519" w:rsidP="00201519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бі</w:t>
            </w:r>
            <w:proofErr w:type="gram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proofErr w:type="gram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ізді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сертификаттары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өнімнің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мен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біртектілігі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сериядан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сақталатынын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процесс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бақылауда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екенін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</w:tr>
      <w:tr w:rsidR="008A7FDD" w:rsidRPr="00EC484D" w:rsidTr="0052529A">
        <w:trPr>
          <w:cantSplit/>
          <w:trHeight w:hRule="exact" w:val="530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8A7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F723FB" w:rsidP="00F723F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  <w:r w:rsidRPr="0052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B" w:rsidRPr="0052529A" w:rsidRDefault="00F723FB" w:rsidP="00F723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Тұрақтылықты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сынау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ICH Q1A (R2), Q1 C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талаптарына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жүргізілді</w:t>
            </w:r>
            <w:proofErr w:type="spellEnd"/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Бі</w:t>
            </w:r>
            <w:proofErr w:type="gramStart"/>
            <w:r w:rsidRPr="0052529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proofErr w:type="gramEnd"/>
            <w:r w:rsidRPr="0052529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іншілік қаптама мәлімделген деректерге сәйкес келеді.  </w:t>
            </w:r>
          </w:p>
          <w:p w:rsidR="00F723FB" w:rsidRPr="0052529A" w:rsidRDefault="00F723FB" w:rsidP="00F723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Тұрақтылықты ұзақ мерзімді зерттеу нәтижелеріне сәйкес дайын препарат сапасының сыни көрсеткіштерінің елеулі өзгерістері байқалмайды.</w:t>
            </w:r>
          </w:p>
          <w:p w:rsidR="00F723FB" w:rsidRPr="0052529A" w:rsidRDefault="00F723FB" w:rsidP="00F723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F723FB" w:rsidRPr="0052529A" w:rsidRDefault="00F723FB" w:rsidP="00F723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1. Сипаттамасы </w:t>
            </w:r>
            <w:r w:rsid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ерекшеліктер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талаптарына сәйкес келеді; </w:t>
            </w:r>
          </w:p>
          <w:p w:rsidR="00F723FB" w:rsidRPr="0052529A" w:rsidRDefault="00F723FB" w:rsidP="00F723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F723FB" w:rsidRPr="00EC484D" w:rsidRDefault="00F723FB" w:rsidP="00F723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EC48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2. Қоспалардың құрамы </w:t>
            </w:r>
            <w:r w:rsid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EC48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шегінде болады; </w:t>
            </w:r>
          </w:p>
          <w:p w:rsidR="00F723FB" w:rsidRPr="00EC484D" w:rsidRDefault="00F723FB" w:rsidP="00F723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F723FB" w:rsidRPr="00EC484D" w:rsidRDefault="00F723FB" w:rsidP="00F723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EC48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 Әсер етуші заттың сандық құрамының елеулі өзгерістері байқалмайды.</w:t>
            </w:r>
          </w:p>
          <w:p w:rsidR="00F723FB" w:rsidRPr="00EC484D" w:rsidRDefault="00F723FB" w:rsidP="00F723F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8A7FDD" w:rsidRPr="00EC484D" w:rsidRDefault="00F723FB" w:rsidP="00F723FB">
            <w:pPr>
              <w:widowControl w:val="0"/>
              <w:spacing w:line="240" w:lineRule="auto"/>
              <w:ind w:left="60" w:right="-16" w:firstLine="6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48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Препараттың тұрақтылығын зерттеу нәтижелері мәлімделген сақтау мерзімін 3 жыл растайды.</w:t>
            </w:r>
          </w:p>
        </w:tc>
      </w:tr>
      <w:tr w:rsidR="008A7FDD" w:rsidRPr="0052529A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10222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10222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52529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</w:t>
            </w:r>
            <w:proofErr w:type="spellEnd"/>
            <w:r w:rsidR="00F723FB"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логиялық қадағалау</w:t>
            </w:r>
          </w:p>
        </w:tc>
      </w:tr>
      <w:tr w:rsidR="008A7FDD" w:rsidRPr="0052529A" w:rsidTr="00F723FB">
        <w:trPr>
          <w:cantSplit/>
          <w:trHeight w:hRule="exact" w:val="873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8A7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F723F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0" w:name="_GoBack"/>
            <w:r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="00102223"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102223"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="00102223"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="00102223" w:rsidRPr="0052529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="00102223" w:rsidRPr="0052529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52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  <w:bookmarkEnd w:id="0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FDD" w:rsidRPr="0052529A" w:rsidRDefault="008A7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FDD" w:rsidRPr="0052529A" w:rsidRDefault="00102223">
      <w:pPr>
        <w:rPr>
          <w:rFonts w:ascii="Times New Roman" w:hAnsi="Times New Roman" w:cs="Times New Roman"/>
          <w:sz w:val="28"/>
          <w:szCs w:val="28"/>
        </w:rPr>
      </w:pPr>
      <w:r w:rsidRPr="0052529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1A46FDE6" wp14:editId="30871F32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8A7FDD" w:rsidRPr="00102223" w:rsidRDefault="00102223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102223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8A7FDD" w:rsidRPr="00102223" w:rsidRDefault="00102223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102223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8A7FDD" w:rsidRPr="00102223" w:rsidRDefault="00EF3CBC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EC484D">
                              <w:rPr>
                                <w:lang w:val="en-US"/>
                              </w:rPr>
                              <w:instrText xml:space="preserve"> HYPERLINK "https://www.sautinsoft.com/products/pdf-focus/order.php" \h </w:instrText>
                            </w:r>
                            <w:r>
                              <w:fldChar w:fldCharType="separate"/>
                            </w:r>
                            <w:r w:rsidR="00102223" w:rsidRPr="00102223">
                              <w:rPr>
                                <w:color w:val="0000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Get the full version of PDF Focus .Net.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8A7FDD" w:rsidRPr="00102223" w:rsidRDefault="00102223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102223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8A7FDD" w:rsidRPr="00102223" w:rsidRDefault="00102223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102223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8A7FDD" w:rsidRPr="00102223" w:rsidRDefault="00102223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7">
                        <w:r w:rsidRPr="00102223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A7FDD" w:rsidRPr="0052529A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DD"/>
    <w:rsid w:val="00102223"/>
    <w:rsid w:val="00201519"/>
    <w:rsid w:val="00276F37"/>
    <w:rsid w:val="004D7266"/>
    <w:rsid w:val="0052529A"/>
    <w:rsid w:val="005C385C"/>
    <w:rsid w:val="0081775F"/>
    <w:rsid w:val="008A7FDD"/>
    <w:rsid w:val="00D63882"/>
    <w:rsid w:val="00EC484D"/>
    <w:rsid w:val="00EF3CBC"/>
    <w:rsid w:val="00F7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autinsoft.com/products/pdf-focus/order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F73A-E35D-4BC0-BD96-AE6EA947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Ayzhan A. Aldangorova</dc:creator>
  <cp:lastModifiedBy>Пользователь Windows</cp:lastModifiedBy>
  <cp:revision>12</cp:revision>
  <dcterms:created xsi:type="dcterms:W3CDTF">2020-03-09T19:12:00Z</dcterms:created>
  <dcterms:modified xsi:type="dcterms:W3CDTF">2020-03-21T18:04:00Z</dcterms:modified>
</cp:coreProperties>
</file>