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30" w:rsidRPr="00E246C2" w:rsidRDefault="00AD1530" w:rsidP="00AD1530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AD1530" w:rsidRPr="00E246C2" w:rsidRDefault="00AD1530" w:rsidP="00AD15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D1530" w:rsidRPr="00E246C2" w:rsidRDefault="00AD1530" w:rsidP="00AD1530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D1530" w:rsidRPr="00E246C2" w:rsidRDefault="00AD1530" w:rsidP="00AD1530">
      <w:pPr>
        <w:rPr>
          <w:rFonts w:ascii="Times New Roman" w:hAnsi="Times New Roman" w:cs="Times New Roman"/>
          <w:sz w:val="28"/>
          <w:szCs w:val="28"/>
        </w:rPr>
        <w:sectPr w:rsidR="00AD1530" w:rsidRPr="00E246C2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AD1530" w:rsidRPr="00E246C2" w:rsidRDefault="00AD1530" w:rsidP="00AD1530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E24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E246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AD1530" w:rsidRPr="00E246C2" w:rsidRDefault="00AD1530" w:rsidP="00AD1530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6C2">
        <w:rPr>
          <w:rFonts w:ascii="Times New Roman" w:hAnsi="Times New Roman" w:cs="Times New Roman"/>
          <w:sz w:val="28"/>
          <w:szCs w:val="28"/>
        </w:rPr>
        <w:br w:type="column"/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E246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AD1530" w:rsidRPr="00E246C2" w:rsidRDefault="00AD1530" w:rsidP="00AD1530">
      <w:pPr>
        <w:rPr>
          <w:rFonts w:ascii="Times New Roman" w:hAnsi="Times New Roman" w:cs="Times New Roman"/>
          <w:sz w:val="28"/>
          <w:szCs w:val="28"/>
        </w:rPr>
        <w:sectPr w:rsidR="00AD1530" w:rsidRPr="00E246C2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AD1530" w:rsidRPr="00E246C2" w:rsidRDefault="00AD1530" w:rsidP="00AD1530">
      <w:pPr>
        <w:spacing w:after="16" w:line="140" w:lineRule="exact"/>
        <w:rPr>
          <w:rFonts w:ascii="Times New Roman" w:hAnsi="Times New Roman" w:cs="Times New Roman"/>
          <w:sz w:val="28"/>
          <w:szCs w:val="28"/>
        </w:rPr>
      </w:pPr>
    </w:p>
    <w:p w:rsidR="00AD1530" w:rsidRPr="00E246C2" w:rsidRDefault="00AD1530" w:rsidP="00AD1530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E246C2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702B34" w:rsidRDefault="00702B34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02B34" w:rsidRDefault="00702B34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02B34" w:rsidRDefault="00702B34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02B34" w:rsidRDefault="00702B34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02B34" w:rsidRDefault="00702B34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02B34" w:rsidRDefault="00702B34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02B34" w:rsidRDefault="00702B34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702B34" w:rsidRDefault="00AD1530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 w:rsidRPr="00E246C2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>Есептен құпия ақпарат жойылд</w:t>
      </w:r>
      <w:r w:rsidRPr="00E246C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  <w:r>
        <w:rPr>
          <w:noProof/>
        </w:rPr>
        <w:t xml:space="preserve"> </w:t>
      </w:r>
      <w:r w:rsidR="008F4742">
        <w:rPr>
          <w:noProof/>
        </w:rPr>
        <mc:AlternateContent>
          <mc:Choice Requires="wps">
            <w:drawing>
              <wp:anchor distT="0" distB="0" distL="114300" distR="114300" simplePos="0" relativeHeight="612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6576"/>
                            </w:tblGrid>
                            <w:tr w:rsidR="00702B34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02B34" w:rsidRDefault="00AD1530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02B34" w:rsidRDefault="00702B34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02B34" w:rsidRDefault="008F4742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Эзоме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раз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3"/>
                                      <w:szCs w:val="2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Эле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ас</w:t>
                                  </w:r>
                                  <w:proofErr w:type="spellEnd"/>
                                </w:p>
                              </w:tc>
                            </w:tr>
                            <w:tr w:rsidR="00702B34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02B34" w:rsidRPr="00AD1530" w:rsidRDefault="00AD1530" w:rsidP="00AD1530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Өндіруші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02B34" w:rsidRPr="00AD1530" w:rsidRDefault="008F4742" w:rsidP="00AD1530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AD15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  <w:lang w:val="kk-KZ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Эле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proofErr w:type="spellEnd"/>
                                  <w:r w:rsidR="00AD15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AD15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  <w:lang w:val="kk-KZ"/>
                                    </w:rPr>
                                    <w:t>ЖШС</w:t>
                                  </w:r>
                                </w:p>
                              </w:tc>
                            </w:tr>
                            <w:tr w:rsidR="00702B34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02B34" w:rsidRPr="00AD1530" w:rsidRDefault="00AD1530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02B34" w:rsidRPr="00AD1530" w:rsidRDefault="00AD1530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kk-KZ"/>
                                    </w:rPr>
                                    <w:t>ҚАЗАҚСТАН</w:t>
                                  </w:r>
                                </w:p>
                              </w:tc>
                            </w:tr>
                          </w:tbl>
                          <w:p w:rsidR="00000000" w:rsidRDefault="008F4742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6576"/>
                      </w:tblGrid>
                      <w:tr w:rsidR="00702B34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02B34" w:rsidRDefault="00AD1530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02B34" w:rsidRDefault="00702B34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702B34" w:rsidRDefault="008F4742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Эзоме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раз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Эле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ас</w:t>
                            </w:r>
                            <w:proofErr w:type="spellEnd"/>
                          </w:p>
                        </w:tc>
                      </w:tr>
                      <w:tr w:rsidR="00702B34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02B34" w:rsidRPr="00AD1530" w:rsidRDefault="00AD1530" w:rsidP="00AD1530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Өндіруші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02B34" w:rsidRPr="00AD1530" w:rsidRDefault="008F4742" w:rsidP="00AD1530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D15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  <w:lang w:val="kk-KZ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Эле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с</w:t>
                            </w:r>
                            <w:proofErr w:type="spellEnd"/>
                            <w:r w:rsidR="00AD15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D15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  <w:lang w:val="kk-KZ"/>
                              </w:rPr>
                              <w:t>ЖШС</w:t>
                            </w:r>
                          </w:p>
                        </w:tc>
                      </w:tr>
                      <w:tr w:rsidR="00702B34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02B34" w:rsidRPr="00AD1530" w:rsidRDefault="00AD1530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02B34" w:rsidRPr="00AD1530" w:rsidRDefault="00AD1530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kk-KZ"/>
                              </w:rPr>
                              <w:t>ҚАЗАҚСТАН</w:t>
                            </w:r>
                          </w:p>
                        </w:tc>
                      </w:tr>
                    </w:tbl>
                    <w:p w:rsidR="00000000" w:rsidRDefault="008F4742"/>
                  </w:txbxContent>
                </v:textbox>
                <w10:wrap anchorx="page"/>
              </v:shape>
            </w:pict>
          </mc:Fallback>
        </mc:AlternateContent>
      </w:r>
    </w:p>
    <w:p w:rsidR="00702B34" w:rsidRDefault="00702B34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02B34" w:rsidRDefault="00702B34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702B34" w:rsidRDefault="008F4742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AD1530" w:rsidRPr="00E246C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702B34" w:rsidRDefault="00702B34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184"/>
      </w:tblGrid>
      <w:tr w:rsidR="00702B34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8F474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AD1530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702B34" w:rsidRDefault="00702B34">
      <w:pPr>
        <w:spacing w:after="3" w:line="220" w:lineRule="exact"/>
      </w:pPr>
    </w:p>
    <w:p w:rsidR="00702B34" w:rsidRDefault="008F4742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AD1530" w:rsidRPr="00E246C2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702B34" w:rsidRDefault="00702B34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702B34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8F474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Pr="00AD1530" w:rsidRDefault="00AD153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E246C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</w:p>
        </w:tc>
      </w:tr>
      <w:tr w:rsidR="00702B34">
        <w:trPr>
          <w:cantSplit/>
          <w:trHeight w:hRule="exact" w:val="18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702B34">
            <w:pPr>
              <w:spacing w:line="240" w:lineRule="exact"/>
              <w:rPr>
                <w:sz w:val="24"/>
                <w:szCs w:val="24"/>
              </w:rPr>
            </w:pPr>
          </w:p>
          <w:p w:rsidR="00702B34" w:rsidRDefault="00702B34">
            <w:pPr>
              <w:spacing w:line="240" w:lineRule="exact"/>
              <w:rPr>
                <w:sz w:val="24"/>
                <w:szCs w:val="24"/>
              </w:rPr>
            </w:pPr>
          </w:p>
          <w:p w:rsidR="00702B34" w:rsidRDefault="00702B34">
            <w:pPr>
              <w:spacing w:after="96" w:line="240" w:lineRule="exact"/>
              <w:rPr>
                <w:sz w:val="24"/>
                <w:szCs w:val="24"/>
              </w:rPr>
            </w:pPr>
          </w:p>
          <w:p w:rsidR="00702B34" w:rsidRDefault="008F474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AD1530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246C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702B34">
            <w:pPr>
              <w:spacing w:after="15" w:line="200" w:lineRule="exact"/>
              <w:rPr>
                <w:sz w:val="20"/>
                <w:szCs w:val="20"/>
              </w:rPr>
            </w:pPr>
          </w:p>
          <w:p w:rsidR="00702B34" w:rsidRDefault="00AD1530">
            <w:pPr>
              <w:widowControl w:val="0"/>
              <w:spacing w:line="240" w:lineRule="auto"/>
              <w:ind w:left="60" w:right="9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деректер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субстанцияның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сапасын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қолданылатын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талдау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әдістерінің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барабарлығын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растайды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БФС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өнімде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қолдану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үшін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ұсынылады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702B34">
        <w:trPr>
          <w:cantSplit/>
          <w:trHeight w:hRule="exact" w:val="50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702B34">
            <w:pPr>
              <w:spacing w:line="240" w:lineRule="exact"/>
              <w:rPr>
                <w:sz w:val="24"/>
                <w:szCs w:val="24"/>
              </w:rPr>
            </w:pPr>
          </w:p>
          <w:p w:rsidR="00702B34" w:rsidRDefault="00702B34">
            <w:pPr>
              <w:spacing w:line="240" w:lineRule="exact"/>
              <w:rPr>
                <w:sz w:val="24"/>
                <w:szCs w:val="24"/>
              </w:rPr>
            </w:pPr>
          </w:p>
          <w:p w:rsidR="00702B34" w:rsidRDefault="00702B34">
            <w:pPr>
              <w:spacing w:line="240" w:lineRule="exact"/>
              <w:rPr>
                <w:sz w:val="24"/>
                <w:szCs w:val="24"/>
              </w:rPr>
            </w:pPr>
          </w:p>
          <w:p w:rsidR="00702B34" w:rsidRDefault="00702B34">
            <w:pPr>
              <w:spacing w:line="240" w:lineRule="exact"/>
              <w:rPr>
                <w:sz w:val="24"/>
                <w:szCs w:val="24"/>
              </w:rPr>
            </w:pPr>
          </w:p>
          <w:p w:rsidR="00702B34" w:rsidRDefault="00702B34">
            <w:pPr>
              <w:spacing w:line="240" w:lineRule="exact"/>
              <w:rPr>
                <w:sz w:val="24"/>
                <w:szCs w:val="24"/>
              </w:rPr>
            </w:pPr>
          </w:p>
          <w:p w:rsidR="00702B34" w:rsidRDefault="00702B34">
            <w:pPr>
              <w:spacing w:line="240" w:lineRule="exact"/>
              <w:rPr>
                <w:sz w:val="24"/>
                <w:szCs w:val="24"/>
              </w:rPr>
            </w:pPr>
          </w:p>
          <w:p w:rsidR="00702B34" w:rsidRDefault="00702B34">
            <w:pPr>
              <w:spacing w:line="240" w:lineRule="exact"/>
              <w:rPr>
                <w:sz w:val="24"/>
                <w:szCs w:val="24"/>
              </w:rPr>
            </w:pPr>
          </w:p>
          <w:p w:rsidR="00702B34" w:rsidRDefault="00702B34">
            <w:pPr>
              <w:spacing w:line="240" w:lineRule="exact"/>
              <w:rPr>
                <w:sz w:val="24"/>
                <w:szCs w:val="24"/>
              </w:rPr>
            </w:pPr>
          </w:p>
          <w:p w:rsidR="00702B34" w:rsidRDefault="00702B34">
            <w:pPr>
              <w:spacing w:line="240" w:lineRule="exact"/>
              <w:rPr>
                <w:sz w:val="24"/>
                <w:szCs w:val="24"/>
              </w:rPr>
            </w:pPr>
          </w:p>
          <w:p w:rsidR="00702B34" w:rsidRDefault="00702B34">
            <w:pPr>
              <w:spacing w:after="17" w:line="200" w:lineRule="exact"/>
              <w:rPr>
                <w:sz w:val="20"/>
                <w:szCs w:val="20"/>
              </w:rPr>
            </w:pPr>
          </w:p>
          <w:p w:rsidR="00702B34" w:rsidRDefault="008F474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AD1530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мен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0" w:rsidRPr="00AD1530" w:rsidRDefault="00AD1530" w:rsidP="00AD1530">
            <w:pPr>
              <w:widowControl w:val="0"/>
              <w:tabs>
                <w:tab w:val="left" w:pos="2034"/>
                <w:tab w:val="left" w:pos="3457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</w:t>
            </w:r>
            <w:proofErr w:type="gram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ілік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өндіру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кезінде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сападағы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мынадай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эксципиенттер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пайдаланылады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маннитол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натрий цитраты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дигидрат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мұзды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сірке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қышқылы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инъекцияға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арналған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су.</w:t>
            </w:r>
          </w:p>
          <w:p w:rsidR="00AD1530" w:rsidRPr="00AD1530" w:rsidRDefault="00AD1530" w:rsidP="00AD1530">
            <w:pPr>
              <w:widowControl w:val="0"/>
              <w:tabs>
                <w:tab w:val="left" w:pos="2034"/>
                <w:tab w:val="left" w:pos="3457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702B34" w:rsidRDefault="00AD1530" w:rsidP="00AD1530">
            <w:pPr>
              <w:widowControl w:val="0"/>
              <w:tabs>
                <w:tab w:val="left" w:pos="1657"/>
                <w:tab w:val="left" w:pos="2209"/>
                <w:tab w:val="left" w:pos="3167"/>
                <w:tab w:val="left" w:pos="3685"/>
                <w:tab w:val="left" w:pos="4708"/>
                <w:tab w:val="left" w:pos="5189"/>
                <w:tab w:val="left" w:pos="5864"/>
              </w:tabs>
              <w:spacing w:line="240" w:lineRule="auto"/>
              <w:ind w:left="60" w:right="16" w:firstLine="63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Препарат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Қазақстан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Республикасының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</w:t>
            </w:r>
            <w:proofErr w:type="gram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олдану</w:t>
            </w:r>
            <w:proofErr w:type="gram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ға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тектес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пайдаланылмайды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</w:t>
            </w:r>
            <w:proofErr w:type="gram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сертификаттарымен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(ЕФ 9.5, БФ 2017).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даму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таңдалды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негізделген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компоненттердің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деректерімен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702B34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8F474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AD153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8F474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8F47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8F474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8F474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8F47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</w:tbl>
    <w:p w:rsidR="00702B34" w:rsidRDefault="00702B34">
      <w:pPr>
        <w:sectPr w:rsidR="00702B34">
          <w:type w:val="continuous"/>
          <w:pgSz w:w="11905" w:h="16837"/>
          <w:pgMar w:top="563" w:right="850" w:bottom="551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6"/>
      </w:tblGrid>
      <w:tr w:rsidR="00702B34">
        <w:trPr>
          <w:cantSplit/>
          <w:trHeight w:hRule="exact" w:val="2159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702B34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AD153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246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AD1530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GMP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қанағаттандыратын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</w:t>
            </w:r>
            <w:proofErr w:type="gram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gram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іс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процесінде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пен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бақылау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процесінің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келтірілген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Валидациялық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сынақтардың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екенін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өнімге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компания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сипаттамасының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келетін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сериядан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серияға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алуға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мүмкіндік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беретіні</w:t>
            </w:r>
            <w:proofErr w:type="gram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proofErr w:type="spellEnd"/>
            <w:proofErr w:type="gram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көрсетеді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702B34">
        <w:trPr>
          <w:cantSplit/>
          <w:trHeight w:hRule="exact" w:val="263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702B34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AD153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246C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ерекшеліктері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0" w:rsidRPr="00AD1530" w:rsidRDefault="00AD1530" w:rsidP="00AD1530">
            <w:pPr>
              <w:widowControl w:val="0"/>
              <w:tabs>
                <w:tab w:val="left" w:pos="839"/>
                <w:tab w:val="left" w:pos="1848"/>
                <w:tab w:val="left" w:pos="2329"/>
                <w:tab w:val="left" w:pos="3394"/>
                <w:tab w:val="left" w:pos="4704"/>
              </w:tabs>
              <w:spacing w:before="3" w:line="240" w:lineRule="auto"/>
              <w:ind w:left="60" w:right="16" w:firstLine="41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Талдамалық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әдістемелердің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валидациясының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</w:t>
            </w:r>
            <w:proofErr w:type="gram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ілік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әдеттегі</w:t>
            </w:r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мүмкіндігін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AD1530" w:rsidRPr="00AD1530" w:rsidRDefault="00AD1530" w:rsidP="00AD1530">
            <w:pPr>
              <w:widowControl w:val="0"/>
              <w:tabs>
                <w:tab w:val="left" w:pos="839"/>
                <w:tab w:val="left" w:pos="1848"/>
                <w:tab w:val="left" w:pos="2329"/>
                <w:tab w:val="left" w:pos="3394"/>
                <w:tab w:val="left" w:pos="4704"/>
              </w:tabs>
              <w:spacing w:before="3" w:line="240" w:lineRule="auto"/>
              <w:ind w:left="60" w:right="16" w:firstLine="41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702B34" w:rsidRDefault="00AD1530" w:rsidP="00AD1530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сериялы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сапа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тұрақтылығы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</w:t>
            </w:r>
            <w:proofErr w:type="gram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ға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сақталатынын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процестің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AD15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  <w:r w:rsidR="008F47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702B34">
        <w:trPr>
          <w:cantSplit/>
          <w:trHeight w:hRule="exact" w:val="4274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702B34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09663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246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63B" w:rsidRPr="0009663B" w:rsidRDefault="0009663B" w:rsidP="0009663B">
            <w:pPr>
              <w:widowControl w:val="0"/>
              <w:tabs>
                <w:tab w:val="left" w:pos="1383"/>
                <w:tab w:val="left" w:pos="2983"/>
                <w:tab w:val="left" w:pos="4845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</w:t>
            </w:r>
            <w:proofErr w:type="gram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зақ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</w:t>
            </w:r>
            <w:proofErr w:type="gram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імді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тұрақтылықты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нәтижелеріне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препарат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сапасының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сыни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көрсеткіштерінде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айтарлықтай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09663B" w:rsidRPr="0009663B" w:rsidRDefault="0009663B" w:rsidP="0009663B">
            <w:pPr>
              <w:widowControl w:val="0"/>
              <w:tabs>
                <w:tab w:val="left" w:pos="1383"/>
                <w:tab w:val="left" w:pos="2983"/>
                <w:tab w:val="left" w:pos="4845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09663B" w:rsidRPr="0009663B" w:rsidRDefault="0009663B" w:rsidP="0009663B">
            <w:pPr>
              <w:widowControl w:val="0"/>
              <w:tabs>
                <w:tab w:val="left" w:pos="1383"/>
                <w:tab w:val="left" w:pos="2983"/>
                <w:tab w:val="left" w:pos="4845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1.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өзіндік ерекшелік</w:t>
            </w:r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келеді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:rsidR="0009663B" w:rsidRPr="0009663B" w:rsidRDefault="0009663B" w:rsidP="0009663B">
            <w:pPr>
              <w:widowControl w:val="0"/>
              <w:tabs>
                <w:tab w:val="left" w:pos="1383"/>
                <w:tab w:val="left" w:pos="2983"/>
                <w:tab w:val="left" w:pos="4845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09663B" w:rsidRPr="0009663B" w:rsidRDefault="0009663B" w:rsidP="0009663B">
            <w:pPr>
              <w:widowControl w:val="0"/>
              <w:tabs>
                <w:tab w:val="left" w:pos="1383"/>
                <w:tab w:val="left" w:pos="2983"/>
                <w:tab w:val="left" w:pos="4845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2.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Қоспалардың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ерекшелік</w:t>
            </w:r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шегінде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болуы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тиіс</w:t>
            </w:r>
            <w:proofErr w:type="spellEnd"/>
            <w:proofErr w:type="gram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:rsidR="0009663B" w:rsidRPr="0009663B" w:rsidRDefault="0009663B" w:rsidP="0009663B">
            <w:pPr>
              <w:widowControl w:val="0"/>
              <w:tabs>
                <w:tab w:val="left" w:pos="1383"/>
                <w:tab w:val="left" w:pos="2983"/>
                <w:tab w:val="left" w:pos="4845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09663B" w:rsidRPr="0009663B" w:rsidRDefault="0009663B" w:rsidP="0009663B">
            <w:pPr>
              <w:widowControl w:val="0"/>
              <w:tabs>
                <w:tab w:val="left" w:pos="1383"/>
                <w:tab w:val="left" w:pos="2983"/>
                <w:tab w:val="left" w:pos="4845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3.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Белсенді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заттың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сандық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құрамының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айтарлықтай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өзгерістері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09663B" w:rsidRPr="0009663B" w:rsidRDefault="0009663B" w:rsidP="0009663B">
            <w:pPr>
              <w:widowControl w:val="0"/>
              <w:tabs>
                <w:tab w:val="left" w:pos="1383"/>
                <w:tab w:val="left" w:pos="2983"/>
                <w:tab w:val="left" w:pos="4845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702B34" w:rsidRDefault="0009663B" w:rsidP="0009663B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Препараттың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тұрақтылығын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мәлімделген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сақтау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мерзімін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2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жыл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растайды</w:t>
            </w:r>
            <w:proofErr w:type="spellEnd"/>
            <w:r w:rsidRPr="000966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702B34">
        <w:trPr>
          <w:cantSplit/>
          <w:trHeight w:hRule="exact" w:val="15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702B34">
            <w:pPr>
              <w:spacing w:line="240" w:lineRule="exact"/>
              <w:rPr>
                <w:sz w:val="24"/>
                <w:szCs w:val="24"/>
              </w:rPr>
            </w:pPr>
          </w:p>
          <w:p w:rsidR="00702B34" w:rsidRDefault="00702B34">
            <w:pPr>
              <w:spacing w:line="240" w:lineRule="exact"/>
              <w:rPr>
                <w:sz w:val="24"/>
                <w:szCs w:val="24"/>
              </w:rPr>
            </w:pPr>
          </w:p>
          <w:p w:rsidR="00702B34" w:rsidRDefault="00702B34">
            <w:pPr>
              <w:spacing w:after="17" w:line="160" w:lineRule="exact"/>
              <w:rPr>
                <w:sz w:val="16"/>
                <w:szCs w:val="16"/>
              </w:rPr>
            </w:pPr>
          </w:p>
          <w:p w:rsidR="00702B34" w:rsidRDefault="008F474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38409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Клиника</w:t>
            </w:r>
            <w:proofErr w:type="gramEnd"/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ға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дейінгі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аспектілер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702B34">
            <w:pPr>
              <w:spacing w:after="15" w:line="200" w:lineRule="exact"/>
              <w:rPr>
                <w:sz w:val="20"/>
                <w:szCs w:val="20"/>
              </w:rPr>
            </w:pPr>
          </w:p>
          <w:p w:rsidR="00702B34" w:rsidRDefault="00384090">
            <w:pPr>
              <w:widowControl w:val="0"/>
              <w:spacing w:line="240" w:lineRule="auto"/>
              <w:ind w:left="60" w:right="17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Препарат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қайта өнді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ілген</w:t>
            </w:r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,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бір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компонентті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болып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табылады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.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Препараттың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қауіпсіздігін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растайтын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уыттылықты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клиника</w:t>
            </w:r>
            <w:proofErr w:type="gram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ға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дейінгі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зерттеулер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бойынша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библиографиялық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деректер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ұсынылған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.</w:t>
            </w:r>
          </w:p>
        </w:tc>
      </w:tr>
      <w:tr w:rsidR="00702B34">
        <w:trPr>
          <w:cantSplit/>
          <w:trHeight w:hRule="exact" w:val="15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702B34">
            <w:pPr>
              <w:spacing w:line="240" w:lineRule="exact"/>
              <w:rPr>
                <w:sz w:val="24"/>
                <w:szCs w:val="24"/>
              </w:rPr>
            </w:pPr>
          </w:p>
          <w:p w:rsidR="00702B34" w:rsidRDefault="00702B34">
            <w:pPr>
              <w:spacing w:line="240" w:lineRule="exact"/>
              <w:rPr>
                <w:sz w:val="24"/>
                <w:szCs w:val="24"/>
              </w:rPr>
            </w:pPr>
          </w:p>
          <w:p w:rsidR="00702B34" w:rsidRDefault="00702B34">
            <w:pPr>
              <w:spacing w:after="17" w:line="160" w:lineRule="exact"/>
              <w:rPr>
                <w:sz w:val="16"/>
                <w:szCs w:val="16"/>
              </w:rPr>
            </w:pPr>
          </w:p>
          <w:p w:rsidR="00702B34" w:rsidRDefault="008F474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8F474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калық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а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702B34">
            <w:pPr>
              <w:spacing w:after="14" w:line="200" w:lineRule="exact"/>
              <w:rPr>
                <w:sz w:val="20"/>
                <w:szCs w:val="20"/>
              </w:rPr>
            </w:pPr>
          </w:p>
          <w:p w:rsidR="00702B34" w:rsidRDefault="008F4742">
            <w:pPr>
              <w:widowControl w:val="0"/>
              <w:spacing w:line="240" w:lineRule="auto"/>
              <w:ind w:left="60" w:right="13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Препарат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қайта өнді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ілген</w:t>
            </w:r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,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бір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компонентті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болып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табылады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.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Препараттың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қауіпсіздігін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растайтын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уыттылықты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клиника</w:t>
            </w:r>
            <w:proofErr w:type="gram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ға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дейінгі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зерттеулер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бойынша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библиографиялық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деректер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ұсынылған</w:t>
            </w:r>
            <w:proofErr w:type="spellEnd"/>
            <w:r w:rsidRPr="0038409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.</w:t>
            </w:r>
          </w:p>
        </w:tc>
      </w:tr>
    </w:tbl>
    <w:p w:rsidR="00702B34" w:rsidRDefault="00702B34">
      <w:pPr>
        <w:sectPr w:rsidR="00702B34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702B34" w:rsidTr="008F4742">
        <w:trPr>
          <w:cantSplit/>
          <w:trHeight w:hRule="exact" w:val="454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702B34">
            <w:pPr>
              <w:spacing w:line="240" w:lineRule="exact"/>
              <w:rPr>
                <w:sz w:val="24"/>
                <w:szCs w:val="24"/>
              </w:rPr>
            </w:pPr>
          </w:p>
          <w:p w:rsidR="00702B34" w:rsidRDefault="00702B34">
            <w:pPr>
              <w:spacing w:line="240" w:lineRule="exact"/>
              <w:rPr>
                <w:sz w:val="24"/>
                <w:szCs w:val="24"/>
              </w:rPr>
            </w:pPr>
          </w:p>
          <w:p w:rsidR="00702B34" w:rsidRDefault="00702B34">
            <w:pPr>
              <w:spacing w:line="240" w:lineRule="exact"/>
              <w:rPr>
                <w:sz w:val="24"/>
                <w:szCs w:val="24"/>
              </w:rPr>
            </w:pPr>
          </w:p>
          <w:p w:rsidR="00702B34" w:rsidRDefault="00702B34">
            <w:pPr>
              <w:spacing w:line="240" w:lineRule="exact"/>
              <w:rPr>
                <w:sz w:val="24"/>
                <w:szCs w:val="24"/>
              </w:rPr>
            </w:pPr>
          </w:p>
          <w:p w:rsidR="00702B34" w:rsidRDefault="00702B34">
            <w:pPr>
              <w:spacing w:line="240" w:lineRule="exact"/>
              <w:rPr>
                <w:sz w:val="24"/>
                <w:szCs w:val="24"/>
              </w:rPr>
            </w:pPr>
          </w:p>
          <w:p w:rsidR="00702B34" w:rsidRDefault="00702B34">
            <w:pPr>
              <w:spacing w:line="240" w:lineRule="exact"/>
              <w:rPr>
                <w:sz w:val="24"/>
                <w:szCs w:val="24"/>
              </w:rPr>
            </w:pPr>
          </w:p>
          <w:p w:rsidR="00702B34" w:rsidRDefault="00702B34">
            <w:pPr>
              <w:spacing w:line="240" w:lineRule="exact"/>
              <w:rPr>
                <w:sz w:val="24"/>
                <w:szCs w:val="24"/>
              </w:rPr>
            </w:pPr>
          </w:p>
          <w:p w:rsidR="00702B34" w:rsidRDefault="00702B34">
            <w:pPr>
              <w:spacing w:after="83" w:line="240" w:lineRule="exact"/>
              <w:rPr>
                <w:sz w:val="24"/>
                <w:szCs w:val="24"/>
              </w:rPr>
            </w:pPr>
          </w:p>
          <w:p w:rsidR="00702B34" w:rsidRDefault="008F474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8F474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702B34">
            <w:pPr>
              <w:spacing w:after="14" w:line="200" w:lineRule="exact"/>
              <w:rPr>
                <w:sz w:val="20"/>
                <w:szCs w:val="20"/>
              </w:rPr>
            </w:pPr>
          </w:p>
          <w:p w:rsidR="008F4742" w:rsidRPr="008F4742" w:rsidRDefault="008F4742" w:rsidP="008F4742">
            <w:pPr>
              <w:widowControl w:val="0"/>
              <w:spacing w:line="240" w:lineRule="auto"/>
              <w:ind w:left="60" w:right="23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Препаратты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дә</w:t>
            </w:r>
            <w:proofErr w:type="gram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proofErr w:type="gram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ігердің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тағайындауына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сәйкес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қолданған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және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нұсқаулықты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сақтаған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жағдайда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пайда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/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қауіп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арақатынасы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қолайлы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.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Пайда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/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қауі</w:t>
            </w:r>
            <w:proofErr w:type="gram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proofErr w:type="spellEnd"/>
            <w:proofErr w:type="gram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бағасын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ескере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отырып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,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препаратты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тағайындау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ұсынылмайды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:</w:t>
            </w:r>
          </w:p>
          <w:p w:rsidR="008F4742" w:rsidRPr="008F4742" w:rsidRDefault="008F4742" w:rsidP="008F4742">
            <w:pPr>
              <w:widowControl w:val="0"/>
              <w:spacing w:line="240" w:lineRule="auto"/>
              <w:ind w:left="60" w:right="23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8F4742" w:rsidRPr="008F4742" w:rsidRDefault="008F4742" w:rsidP="008F4742">
            <w:pPr>
              <w:widowControl w:val="0"/>
              <w:spacing w:line="240" w:lineRule="auto"/>
              <w:ind w:left="60" w:right="23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-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бензимидазолмен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немесе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препараттың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бас</w:t>
            </w:r>
            <w:proofErr w:type="gram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қа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ингредиенттерімен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ауыстырылған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эзомепразолға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белгілі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жоғары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сезімталдықта</w:t>
            </w:r>
            <w:proofErr w:type="spellEnd"/>
          </w:p>
          <w:p w:rsidR="008F4742" w:rsidRPr="008F4742" w:rsidRDefault="008F4742" w:rsidP="008F4742">
            <w:pPr>
              <w:widowControl w:val="0"/>
              <w:spacing w:line="240" w:lineRule="auto"/>
              <w:ind w:left="60" w:right="23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8F4742" w:rsidRPr="008F4742" w:rsidRDefault="008F4742" w:rsidP="008F4742">
            <w:pPr>
              <w:widowControl w:val="0"/>
              <w:spacing w:line="240" w:lineRule="auto"/>
              <w:ind w:left="60" w:right="23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- 18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жасқа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дейінгі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балалар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мен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жасөспі</w:t>
            </w:r>
            <w:proofErr w:type="gram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proofErr w:type="gram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імдер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(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қауіпсіздік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және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тиімділік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жөніндегі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деректердің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болмауына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байланысты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)</w:t>
            </w:r>
          </w:p>
          <w:p w:rsidR="008F4742" w:rsidRPr="008F4742" w:rsidRDefault="008F4742" w:rsidP="008F4742">
            <w:pPr>
              <w:widowControl w:val="0"/>
              <w:spacing w:line="240" w:lineRule="auto"/>
              <w:ind w:left="60" w:right="23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8F4742" w:rsidRPr="008F4742" w:rsidRDefault="008F4742" w:rsidP="008F4742">
            <w:pPr>
              <w:widowControl w:val="0"/>
              <w:spacing w:line="240" w:lineRule="auto"/>
              <w:ind w:left="60" w:right="23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-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нелфинавирмен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бірге</w:t>
            </w:r>
            <w:proofErr w:type="spellEnd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қолдану</w:t>
            </w:r>
            <w:proofErr w:type="spellEnd"/>
          </w:p>
          <w:p w:rsidR="008F4742" w:rsidRPr="008F4742" w:rsidRDefault="008F4742" w:rsidP="008F4742">
            <w:pPr>
              <w:widowControl w:val="0"/>
              <w:spacing w:line="240" w:lineRule="auto"/>
              <w:ind w:left="60" w:right="23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702B34" w:rsidRDefault="008F4742" w:rsidP="008F4742">
            <w:pPr>
              <w:widowControl w:val="0"/>
              <w:spacing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- лактация </w:t>
            </w:r>
            <w:proofErr w:type="spellStart"/>
            <w:r w:rsidRPr="008F47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кезеңі</w:t>
            </w:r>
            <w:proofErr w:type="spellEnd"/>
          </w:p>
        </w:tc>
      </w:tr>
      <w:tr w:rsidR="00702B34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8F474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Pr="008F4742" w:rsidRDefault="008F474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</w:p>
        </w:tc>
      </w:tr>
      <w:tr w:rsidR="00702B34">
        <w:trPr>
          <w:cantSplit/>
          <w:trHeight w:hRule="exact" w:val="34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702B34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8F474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Клиникаға дейінгі 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702B34"/>
        </w:tc>
      </w:tr>
      <w:tr w:rsidR="00702B34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702B34">
            <w:pPr>
              <w:spacing w:after="14" w:line="240" w:lineRule="exact"/>
              <w:rPr>
                <w:sz w:val="24"/>
                <w:szCs w:val="24"/>
              </w:rPr>
            </w:pPr>
          </w:p>
          <w:p w:rsidR="00702B34" w:rsidRDefault="008F474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8F474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246C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B34" w:rsidRDefault="00702B34">
            <w:pPr>
              <w:spacing w:after="15" w:line="200" w:lineRule="exact"/>
              <w:rPr>
                <w:sz w:val="20"/>
                <w:szCs w:val="20"/>
              </w:rPr>
            </w:pPr>
          </w:p>
          <w:p w:rsidR="00702B34" w:rsidRPr="008F4742" w:rsidRDefault="008F474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Дәрігердің рецептісі бойынша </w:t>
            </w:r>
          </w:p>
        </w:tc>
      </w:tr>
    </w:tbl>
    <w:p w:rsidR="00702B34" w:rsidRDefault="00702B34">
      <w:pPr>
        <w:spacing w:after="1" w:line="120" w:lineRule="exact"/>
        <w:rPr>
          <w:sz w:val="12"/>
          <w:szCs w:val="12"/>
        </w:rPr>
      </w:pPr>
    </w:p>
    <w:p w:rsidR="00702B34" w:rsidRDefault="008F4742">
      <w:pPr>
        <w:widowControl w:val="0"/>
        <w:spacing w:line="244" w:lineRule="auto"/>
        <w:ind w:left="17" w:right="99"/>
        <w:rPr>
          <w:rFonts w:ascii="Arial" w:eastAsia="Arial" w:hAnsi="Arial" w:cs="Arial"/>
          <w:color w:val="000000"/>
          <w:w w:val="102"/>
          <w:sz w:val="15"/>
          <w:szCs w:val="15"/>
        </w:rPr>
      </w:pPr>
      <w:r>
        <w:rPr>
          <w:rFonts w:ascii="Arial" w:eastAsia="Arial" w:hAnsi="Arial" w:cs="Arial"/>
          <w:color w:val="000000"/>
          <w:w w:val="102"/>
          <w:sz w:val="15"/>
          <w:szCs w:val="15"/>
        </w:rPr>
        <w:t>Осы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құжат</w:t>
      </w:r>
      <w:proofErr w:type="spellEnd"/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«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Электрондық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құжат</w:t>
      </w:r>
      <w:proofErr w:type="spellEnd"/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және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электрондық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цифрлық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қолтаңба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туралы</w:t>
      </w:r>
      <w:proofErr w:type="spellEnd"/>
      <w:r>
        <w:rPr>
          <w:rFonts w:ascii="Arial" w:eastAsia="Arial" w:hAnsi="Arial" w:cs="Arial"/>
          <w:color w:val="000000"/>
          <w:w w:val="102"/>
          <w:sz w:val="15"/>
          <w:szCs w:val="15"/>
        </w:rPr>
        <w:t>»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2003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жылғы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7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қаңтардағы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Қазақстан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Республикасының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N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370II</w:t>
      </w:r>
      <w:proofErr w:type="gramStart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З</w:t>
      </w:r>
      <w:proofErr w:type="gramEnd"/>
      <w:r>
        <w:rPr>
          <w:rFonts w:ascii="Arial" w:eastAsia="Arial" w:hAnsi="Arial" w:cs="Arial"/>
          <w:color w:val="000000"/>
          <w:w w:val="102"/>
          <w:sz w:val="15"/>
          <w:szCs w:val="15"/>
        </w:rPr>
        <w:t>аңы</w:t>
      </w:r>
      <w:proofErr w:type="spellEnd"/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7</w:t>
      </w:r>
      <w:r>
        <w:rPr>
          <w:rFonts w:ascii="Arial" w:eastAsia="Arial" w:hAnsi="Arial" w:cs="Arial"/>
          <w:color w:val="000000"/>
          <w:spacing w:val="1"/>
          <w:sz w:val="15"/>
          <w:szCs w:val="15"/>
          <w:lang w:val="kk-KZ"/>
        </w:rPr>
        <w:t>-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бабының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1</w:t>
      </w:r>
      <w:r>
        <w:rPr>
          <w:rFonts w:ascii="Arial" w:eastAsia="Arial" w:hAnsi="Arial" w:cs="Arial"/>
          <w:color w:val="000000"/>
          <w:sz w:val="15"/>
          <w:szCs w:val="15"/>
          <w:lang w:val="kk-KZ"/>
        </w:rPr>
        <w:t>-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тармағына</w:t>
      </w:r>
      <w:proofErr w:type="spellEnd"/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сәйкес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қағаз</w:t>
      </w:r>
      <w:proofErr w:type="spellEnd"/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 xml:space="preserve"> жеткізгіштегі </w:t>
      </w:r>
      <w:bookmarkStart w:id="0" w:name="_GoBack"/>
      <w:bookmarkEnd w:id="0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құжатпен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бірдей</w:t>
      </w:r>
      <w:proofErr w:type="spellEnd"/>
      <w:r>
        <w:rPr>
          <w:rFonts w:ascii="Arial" w:eastAsia="Arial" w:hAnsi="Arial" w:cs="Arial"/>
          <w:color w:val="000000"/>
          <w:w w:val="102"/>
          <w:sz w:val="15"/>
          <w:szCs w:val="15"/>
        </w:rPr>
        <w:t>.</w:t>
      </w:r>
    </w:p>
    <w:p w:rsidR="00702B34" w:rsidRDefault="008F4742">
      <w:pPr>
        <w:widowControl w:val="0"/>
        <w:spacing w:before="51" w:line="244" w:lineRule="auto"/>
        <w:ind w:left="17" w:right="233"/>
        <w:rPr>
          <w:rFonts w:ascii="Arial" w:eastAsia="Arial" w:hAnsi="Arial" w:cs="Arial"/>
          <w:color w:val="000000"/>
          <w:w w:val="102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43" behindDoc="1" locked="0" layoutInCell="0" allowOverlap="1">
                <wp:simplePos x="0" y="0"/>
                <wp:positionH relativeFrom="page">
                  <wp:posOffset>719963</wp:posOffset>
                </wp:positionH>
                <wp:positionV relativeFrom="paragraph">
                  <wp:posOffset>328168</wp:posOffset>
                </wp:positionV>
                <wp:extent cx="5675121" cy="1124711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5121" cy="1124711"/>
                          <a:chOff x="0" y="0"/>
                          <a:chExt cx="5675121" cy="112471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137666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275204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12871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4550409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Данный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документ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согласно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пункту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1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статьи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7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ЗРК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от</w:t>
      </w:r>
      <w:r>
        <w:rPr>
          <w:rFonts w:ascii="Arial" w:eastAsia="Arial" w:hAnsi="Arial" w:cs="Arial"/>
          <w:color w:val="00000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7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января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2003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года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N370-II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«Об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электронном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документе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электронной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цифровой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подписи»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равнозначен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документу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на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бумажном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носителе.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702B34" w:rsidRPr="00AD1530" w:rsidRDefault="008F4742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AD1530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702B34" w:rsidRPr="00AD1530" w:rsidRDefault="008F4742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AD1530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702B34" w:rsidRPr="00AD1530" w:rsidRDefault="008F4742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10">
                              <w:r w:rsidRPr="00AD1530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" o:spid="_x0000_s1027" type="#_x0000_t202" style="position:absolute;left:0;text-align:left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" o:allowincell="f" stroked="f">
                <v:textbox>
                  <w:txbxContent>
                    <w:p w:rsidR="00702B34" w:rsidRPr="00AD1530" w:rsidRDefault="008F4742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AD1530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702B34" w:rsidRPr="00AD1530" w:rsidRDefault="008F4742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AD1530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702B34" w:rsidRPr="00AD1530" w:rsidRDefault="008F4742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11">
                        <w:r w:rsidRPr="00AD1530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02B34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2B34"/>
    <w:rsid w:val="0009663B"/>
    <w:rsid w:val="00384090"/>
    <w:rsid w:val="00702B34"/>
    <w:rsid w:val="008F4742"/>
    <w:rsid w:val="00A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sautinsoft.com/products/pdf-focus/order.php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2020-08-26T16:07:00Z</dcterms:created>
  <dcterms:modified xsi:type="dcterms:W3CDTF">2020-08-26T16:25:00Z</dcterms:modified>
</cp:coreProperties>
</file>