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E5" w:rsidRPr="00DF355F" w:rsidRDefault="00DF355F" w:rsidP="00DF355F">
      <w:pPr>
        <w:widowControl w:val="0"/>
        <w:spacing w:line="240" w:lineRule="auto"/>
        <w:ind w:left="-68" w:right="857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 w:rsidR="00B96E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 w:rsidR="00B96E6D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 w:rsidR="00B96E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Мөр орны </w:t>
      </w:r>
    </w:p>
    <w:p w:rsidR="00357EE5" w:rsidRDefault="00357E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7EE5" w:rsidRDefault="00357EE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7EE5" w:rsidRDefault="00357EE5">
      <w:pPr>
        <w:sectPr w:rsidR="00357EE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357EE5" w:rsidRDefault="00B96E6D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="001D39E9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 w:rsidR="001D39E9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357EE5" w:rsidRDefault="00B96E6D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357EE5" w:rsidRDefault="00357EE5">
      <w:pPr>
        <w:sectPr w:rsidR="00357EE5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357EE5" w:rsidRDefault="00357EE5">
      <w:pPr>
        <w:spacing w:after="16" w:line="140" w:lineRule="exact"/>
        <w:rPr>
          <w:sz w:val="14"/>
          <w:szCs w:val="14"/>
        </w:rPr>
      </w:pPr>
    </w:p>
    <w:p w:rsidR="001D39E9" w:rsidRDefault="001D39E9" w:rsidP="001D39E9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357EE5" w:rsidRDefault="00357EE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57EE5" w:rsidRDefault="00357EE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57EE5" w:rsidRDefault="00357EE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57EE5" w:rsidRDefault="00357EE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57EE5" w:rsidRDefault="00357EE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57EE5" w:rsidRDefault="00357EE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57EE5" w:rsidRDefault="00357EE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57EE5" w:rsidRDefault="00357EE5">
      <w:pPr>
        <w:spacing w:after="14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357EE5" w:rsidRDefault="00B96E6D" w:rsidP="001D39E9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w w:val="10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1" behindDoc="1" locked="0" layoutInCell="0" allowOverlap="1" wp14:anchorId="4A31DC16" wp14:editId="75D522FD">
                <wp:simplePos x="0" y="0"/>
                <wp:positionH relativeFrom="page">
                  <wp:posOffset>719962</wp:posOffset>
                </wp:positionH>
                <wp:positionV relativeFrom="paragraph">
                  <wp:posOffset>-966756</wp:posOffset>
                </wp:positionV>
                <wp:extent cx="6264021" cy="96939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96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357EE5" w:rsidRPr="001D39E9">
                              <w:trPr>
                                <w:cantSplit/>
                                <w:trHeight w:hRule="exact" w:val="833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57EE5" w:rsidRPr="001D39E9" w:rsidRDefault="001D39E9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препараттың атауы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57EE5" w:rsidRPr="001D39E9" w:rsidRDefault="00B96E6D" w:rsidP="001D39E9">
                                  <w:pPr>
                                    <w:widowControl w:val="0"/>
                                    <w:spacing w:before="16" w:line="240" w:lineRule="auto"/>
                                    <w:ind w:left="60" w:right="115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Г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р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ип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п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о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л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®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Кв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а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дри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в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ал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н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</w:t>
                                  </w:r>
                                  <w:r w:rsidRP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="001D39E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Тұмауға қарсы төрт валентті инактивтендірілген субъединалды адъювантты вакцина  </w:t>
                                  </w:r>
                                </w:p>
                              </w:tc>
                            </w:tr>
                            <w:tr w:rsidR="00357EE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57EE5" w:rsidRPr="001D39E9" w:rsidRDefault="001D39E9" w:rsidP="001D39E9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57EE5" w:rsidRDefault="001D39E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ҒӨО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О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 w:rsidR="00B96E6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357EE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57EE5" w:rsidRPr="001D39E9" w:rsidRDefault="001D39E9" w:rsidP="001D39E9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57EE5" w:rsidRPr="001D39E9" w:rsidRDefault="001D39E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Ресей </w:t>
                                  </w:r>
                                </w:p>
                              </w:tc>
                            </w:tr>
                          </w:tbl>
                          <w:p w:rsidR="00595FD8" w:rsidRDefault="00595FD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1DC16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76.1pt;width:493.25pt;height:76.35pt;z-index:-5033157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357EE5" w:rsidRPr="001D39E9">
                        <w:trPr>
                          <w:cantSplit/>
                          <w:trHeight w:hRule="exact" w:val="833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57EE5" w:rsidRPr="001D39E9" w:rsidRDefault="001D39E9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препараттың атауы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57EE5" w:rsidRPr="001D39E9" w:rsidRDefault="00B96E6D" w:rsidP="001D39E9">
                            <w:pPr>
                              <w:widowControl w:val="0"/>
                              <w:spacing w:before="16" w:line="240" w:lineRule="auto"/>
                              <w:ind w:left="60" w:right="115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Г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р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ип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п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о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л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®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Кв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а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дри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в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ал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н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</w:t>
                            </w:r>
                            <w:r w:rsidRP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="001D3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Тұмауға қарсы төрт валентті инактивтендірілген субъединалды адъювантты вакцина  </w:t>
                            </w:r>
                          </w:p>
                        </w:tc>
                      </w:tr>
                      <w:tr w:rsidR="00357EE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57EE5" w:rsidRPr="001D39E9" w:rsidRDefault="001D39E9" w:rsidP="001D39E9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57EE5" w:rsidRDefault="001D39E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ҒӨО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е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т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в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к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Ф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О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</w:t>
                            </w:r>
                            <w:r w:rsidR="00B96E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</w:p>
                        </w:tc>
                      </w:tr>
                      <w:tr w:rsidR="00357EE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57EE5" w:rsidRPr="001D39E9" w:rsidRDefault="001D39E9" w:rsidP="001D39E9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57EE5" w:rsidRPr="001D39E9" w:rsidRDefault="001D39E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 xml:space="preserve">Ресей </w:t>
                            </w:r>
                          </w:p>
                        </w:tc>
                      </w:tr>
                    </w:tbl>
                    <w:p w:rsidR="00595FD8" w:rsidRDefault="00595FD8"/>
                  </w:txbxContent>
                </v:textbox>
                <w10:wrap anchorx="page"/>
              </v:shape>
            </w:pict>
          </mc:Fallback>
        </mc:AlternateContent>
      </w:r>
      <w:r w:rsidR="001D39E9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357EE5" w:rsidRDefault="00357EE5">
      <w:pPr>
        <w:spacing w:after="1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357EE5" w:rsidRDefault="00B96E6D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1D39E9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357EE5" w:rsidRDefault="00357EE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357EE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B96E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1D39E9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357EE5" w:rsidRDefault="00357EE5">
      <w:pPr>
        <w:spacing w:after="3" w:line="220" w:lineRule="exact"/>
      </w:pPr>
    </w:p>
    <w:p w:rsidR="00357EE5" w:rsidRPr="001D39E9" w:rsidRDefault="00B96E6D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1D39E9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357EE5" w:rsidRDefault="00357EE5">
      <w:pPr>
        <w:spacing w:line="33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357EE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B96E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1D39E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аспектілері</w:t>
            </w:r>
          </w:p>
        </w:tc>
      </w:tr>
      <w:tr w:rsidR="00357EE5">
        <w:trPr>
          <w:cantSplit/>
          <w:trHeight w:hRule="exact" w:val="5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after="16" w:line="120" w:lineRule="exact"/>
              <w:rPr>
                <w:sz w:val="12"/>
                <w:szCs w:val="12"/>
              </w:rPr>
            </w:pPr>
          </w:p>
          <w:p w:rsidR="00357EE5" w:rsidRDefault="00B96E6D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1D39E9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Белсенді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1D39E9">
            <w:pPr>
              <w:widowControl w:val="0"/>
              <w:tabs>
                <w:tab w:val="left" w:pos="495"/>
                <w:tab w:val="left" w:pos="1064"/>
                <w:tab w:val="left" w:pos="1351"/>
                <w:tab w:val="left" w:pos="1651"/>
                <w:tab w:val="left" w:pos="2098"/>
                <w:tab w:val="left" w:pos="2871"/>
                <w:tab w:val="left" w:pos="3406"/>
                <w:tab w:val="left" w:pos="3702"/>
                <w:tab w:val="left" w:pos="4103"/>
                <w:tab w:val="left" w:pos="4455"/>
                <w:tab w:val="left" w:pos="504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тұмау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вирусы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антигендерінің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штамдары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гемагглютинині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бар А (H1N1)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тұмау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вирусының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антигені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гемагглютинині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бар А (H3N2)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тұмау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вирусының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антигені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гемагглютинині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бар В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тұмау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вирусының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антигені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Yamagata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желісі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гемагглютинині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бар В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тұмау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вирусының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антигені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Victoria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желісі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);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Полиоксидоний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гемагглютинині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бар В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тұмау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вирусының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антигені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Victoria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желісі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);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күші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жойылған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Қолданыстағы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йкестік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сертификаты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357EE5" w:rsidRDefault="00357EE5">
      <w:pPr>
        <w:sectPr w:rsidR="00357EE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357EE5">
        <w:trPr>
          <w:cantSplit/>
          <w:trHeight w:hRule="exact" w:val="44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after="11" w:line="180" w:lineRule="exact"/>
              <w:rPr>
                <w:sz w:val="18"/>
                <w:szCs w:val="18"/>
              </w:rPr>
            </w:pPr>
          </w:p>
          <w:p w:rsidR="00357EE5" w:rsidRDefault="00B96E6D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1D39E9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Қосымша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заттар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: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саны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мәліметтерді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пайдалану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мүмкіндігі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қорытындылармен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9E9" w:rsidRPr="001D39E9" w:rsidRDefault="001D39E9" w:rsidP="001D39E9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дәрілік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D39E9" w:rsidRPr="001D39E9" w:rsidRDefault="001D39E9" w:rsidP="001D39E9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57EE5" w:rsidRDefault="001D39E9" w:rsidP="001D39E9">
            <w:pPr>
              <w:widowControl w:val="0"/>
              <w:tabs>
                <w:tab w:val="left" w:pos="1657"/>
                <w:tab w:val="left" w:pos="2209"/>
                <w:tab w:val="left" w:pos="3685"/>
                <w:tab w:val="left" w:pos="4409"/>
                <w:tab w:val="left" w:pos="5189"/>
                <w:tab w:val="left" w:pos="5864"/>
              </w:tabs>
              <w:spacing w:line="240" w:lineRule="auto"/>
              <w:ind w:left="60" w:right="17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бойынша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</w:p>
        </w:tc>
      </w:tr>
      <w:tr w:rsidR="00357EE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B96E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1D39E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B96E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B96E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B96E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B96E6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B96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357EE5">
        <w:trPr>
          <w:cantSplit/>
          <w:trHeight w:hRule="exact" w:val="215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1D39E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1D39E9" w:rsidP="001D39E9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өндірістік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процесс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ерекшелігінің</w:t>
            </w:r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 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</w:t>
            </w:r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proofErr w:type="gram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береді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357EE5">
        <w:trPr>
          <w:cantSplit/>
          <w:trHeight w:hRule="exact" w:val="269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0146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0146F9" w:rsidP="000146F9">
            <w:pPr>
              <w:widowControl w:val="0"/>
              <w:tabs>
                <w:tab w:val="left" w:pos="839"/>
                <w:tab w:val="left" w:pos="1802"/>
                <w:tab w:val="left" w:pos="2329"/>
                <w:tab w:val="left" w:pos="2993"/>
                <w:tab w:val="left" w:pos="3346"/>
                <w:tab w:val="left" w:pos="507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Өзіндік ерекшеліктің</w:t>
            </w:r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Талдамалық</w:t>
            </w:r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әдеттегі </w:t>
            </w:r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бірізді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357EE5" w:rsidRPr="00A664E7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0146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сынау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нормативтік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құжаттардың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   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980B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қаптама</w:t>
            </w:r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деректерге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көрсеткіштерінің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980B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ерекшелік</w:t>
            </w:r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980B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ерекшелік</w:t>
            </w:r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болады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0146F9" w:rsidRPr="000146F9" w:rsidRDefault="000146F9" w:rsidP="000146F9">
            <w:pPr>
              <w:widowControl w:val="0"/>
              <w:tabs>
                <w:tab w:val="left" w:pos="1410"/>
                <w:tab w:val="left" w:pos="1732"/>
                <w:tab w:val="left" w:pos="3007"/>
                <w:tab w:val="left" w:pos="334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A664E7" w:rsidRDefault="000146F9" w:rsidP="000146F9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3.</w:t>
            </w:r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етуші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0146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357EE5" w:rsidRPr="00A664E7" w:rsidRDefault="00A664E7" w:rsidP="000146F9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664E7">
              <w:rPr>
                <w:lang w:val="kk-KZ"/>
              </w:rPr>
              <w:t xml:space="preserve"> 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Препараттың тұрақтылығын зерттеу нәтижелері мәлімделген сақтау мерзімін растайды.</w:t>
            </w:r>
          </w:p>
        </w:tc>
      </w:tr>
    </w:tbl>
    <w:p w:rsidR="00357EE5" w:rsidRPr="00A664E7" w:rsidRDefault="00357EE5">
      <w:pPr>
        <w:rPr>
          <w:lang w:val="kk-KZ"/>
        </w:rPr>
        <w:sectPr w:rsidR="00357EE5" w:rsidRPr="00A664E7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357EE5">
        <w:trPr>
          <w:cantSplit/>
          <w:trHeight w:hRule="exact" w:val="55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after="15" w:line="220" w:lineRule="exact"/>
              <w:rPr>
                <w:lang w:val="kk-KZ"/>
              </w:rPr>
            </w:pPr>
          </w:p>
          <w:p w:rsidR="00357EE5" w:rsidRDefault="00B96E6D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A664E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after="14" w:line="200" w:lineRule="exact"/>
              <w:rPr>
                <w:sz w:val="20"/>
                <w:szCs w:val="20"/>
              </w:rPr>
            </w:pPr>
          </w:p>
          <w:p w:rsidR="00357EE5" w:rsidRDefault="00A664E7" w:rsidP="00A664E7">
            <w:pPr>
              <w:widowControl w:val="0"/>
              <w:spacing w:line="240" w:lineRule="auto"/>
              <w:ind w:left="60" w:right="-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2014-2017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жылдары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зерттеулердің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барлық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кешені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эк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инактивацияланған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ъенидалды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тұмау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Квадривалент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ерекшелік 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белсенділігі</w:t>
            </w:r>
            <w:proofErr w:type="spellEnd"/>
            <w:proofErr w:type="gram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қауіпсіздік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профилін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Дегенмен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ұсынылмаса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да,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зерттеулердің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вакцинаның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жекелеген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компоненттеріне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емес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мысалы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канцерогенезге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тек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Полиоксидоний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зерттелді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мутагендікке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тривалентті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зерттелді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), ал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тұтас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яғни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Квадривалент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зерттелді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зерттеулердің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жинақтай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отырып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типті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тұмау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вирусының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2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штаммынан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тұратын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Квадривалент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тұмауының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алдын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алуға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арналған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төртвалентті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вакцина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тиімділік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пен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қауіпсіздікті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proofErr w:type="gram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Квадривалент</w:t>
            </w:r>
            <w:proofErr w:type="spellEnd"/>
            <w:proofErr w:type="gram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вакцинасын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халықты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тұмаудан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жақсы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қорғауды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мтамасыз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іледі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357EE5" w:rsidRPr="00A664E7">
        <w:trPr>
          <w:cantSplit/>
          <w:trHeight w:hRule="exact" w:val="6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after="19" w:line="140" w:lineRule="exact"/>
              <w:rPr>
                <w:sz w:val="14"/>
                <w:szCs w:val="14"/>
              </w:rPr>
            </w:pPr>
          </w:p>
          <w:p w:rsidR="00357EE5" w:rsidRDefault="00B96E6D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A664E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after="14" w:line="200" w:lineRule="exact"/>
              <w:rPr>
                <w:sz w:val="20"/>
                <w:szCs w:val="20"/>
              </w:rPr>
            </w:pPr>
          </w:p>
          <w:p w:rsidR="00357EE5" w:rsidRDefault="00A664E7">
            <w:pPr>
              <w:spacing w:after="12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зерттеулердің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I-III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фазасы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ішінде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1 I-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фазаны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, 1 II-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фазаны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2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зерттеудің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II-III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фазасына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арналған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Қауіпсіздік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пен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реактогендікті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Квадривалент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6-17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жастағы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(n=440),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сондай-ақ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18-60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жастағы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(N=612)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субъектілерде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қауіпсіздіктің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қолайлы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бейініне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Квадривалент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плюс вакцина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енгізуге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жергілікті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жүйелі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реакциялардың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сондай-ақ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жағымсыз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құбылыстардың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салыстырмалы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спектрлеріне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A664E7" w:rsidRPr="00A664E7" w:rsidRDefault="00A664E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57EE5" w:rsidRPr="00A664E7" w:rsidRDefault="00A664E7">
            <w:pPr>
              <w:widowControl w:val="0"/>
              <w:spacing w:line="240" w:lineRule="auto"/>
              <w:ind w:left="60" w:right="-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Жүргізілген I-III фазаларды зерттеу нәтижелері бойынша мынадай қорытынды жасауға болады: 1) Гриппол Квадривалент вакцинасы қолайлы қауіпсіздік бейініне ие болды және 6-17 жастағы, сондай-ақ 18-60 жастағы субъектілердің зерттелетін популяциясындағы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дені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сау еріктілерге жақсы бастан өткерді 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.; 2) Гриппол Квадривалент реактогендігі мен төзімділігін салыстыру препараттарымен – Гриппол плюс және Плацебо вакцинасымен салыстырмалы зерттеу кезінде реактогенділік көрсеткіштері (жергілікті және жалпы реакциялардың жиілігі) бойынша салыстырмалы топтар арасында статистикалық маңызды айырмашылықтар болған, бұл сондай-ақ Гриппол Квадривалент вакцинасының реактогендігі деңгейінің төмендігін куәландырады.</w:t>
            </w:r>
          </w:p>
        </w:tc>
      </w:tr>
    </w:tbl>
    <w:p w:rsidR="00357EE5" w:rsidRPr="00A664E7" w:rsidRDefault="00357EE5">
      <w:pPr>
        <w:rPr>
          <w:lang w:val="kk-KZ"/>
        </w:rPr>
        <w:sectPr w:rsidR="00357EE5" w:rsidRPr="00A664E7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357EE5" w:rsidRPr="00D979E4">
        <w:trPr>
          <w:cantSplit/>
          <w:trHeight w:hRule="exact" w:val="108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357EE5" w:rsidRPr="00A664E7" w:rsidRDefault="00357EE5">
            <w:pPr>
              <w:spacing w:after="6" w:line="240" w:lineRule="exact"/>
              <w:rPr>
                <w:sz w:val="24"/>
                <w:szCs w:val="24"/>
                <w:lang w:val="kk-KZ"/>
              </w:rPr>
            </w:pPr>
          </w:p>
          <w:p w:rsidR="00357EE5" w:rsidRDefault="00B96E6D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A664E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after="14" w:line="200" w:lineRule="exact"/>
              <w:rPr>
                <w:sz w:val="20"/>
                <w:szCs w:val="20"/>
              </w:rPr>
            </w:pPr>
          </w:p>
          <w:p w:rsidR="00A664E7" w:rsidRPr="00A664E7" w:rsidRDefault="00A664E7" w:rsidP="00A664E7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Квадривалент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вакцинасы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ересектерде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тұмаудың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ерекше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профилактикасы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үшін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вакцина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ретінде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қолдану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үшін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көрсетілген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</w:p>
          <w:p w:rsidR="00A664E7" w:rsidRPr="00A664E7" w:rsidRDefault="00B96E6D" w:rsidP="00A664E7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Гриппол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Квадриваленті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«</w:t>
            </w:r>
            <w:r w:rsid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ҒӨО</w:t>
            </w:r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Петровакс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»</w:t>
            </w:r>
            <w:r w:rsid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ООО</w:t>
            </w:r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шығарған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тұмауға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қарсы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вакцина гемагглютинин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және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нейраминидаз, </w:t>
            </w:r>
            <w:proofErr w:type="gram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proofErr w:type="gram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және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В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типті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тұмаудың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тазартылған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вирусынан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бөлінген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, суда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еритін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жоғары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молекулярлы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иммуноадъювантпен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байланысты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тауық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эмбриондарының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аллантоисінде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өсірілген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поли-1,4-этиленпипера</w:t>
            </w:r>
            <w:r w:rsid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зиннің ("</w:t>
            </w:r>
            <w:r w:rsid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ҒӨО</w:t>
            </w:r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Петровакс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Фарм"өндірген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Полиоксидоний</w:t>
            </w:r>
            <w:proofErr w:type="spellEnd"/>
            <w:r w:rsidR="00A664E7"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".</w:t>
            </w:r>
          </w:p>
          <w:p w:rsidR="00A664E7" w:rsidRPr="00A664E7" w:rsidRDefault="00A664E7" w:rsidP="00A664E7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</w:pPr>
          </w:p>
          <w:p w:rsidR="00357EE5" w:rsidRDefault="00A664E7" w:rsidP="00A664E7">
            <w:pPr>
              <w:widowControl w:val="0"/>
              <w:spacing w:before="1" w:line="240" w:lineRule="auto"/>
              <w:ind w:left="60" w:right="4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Иммуноадъювант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Полиоксидоний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антигендерді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көлемі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бойынша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вируспен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салыстырылатын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ірі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кешенге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жинайды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.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Бұл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кешен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иммундық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жүйемен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жақсы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білінеді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бұл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антигендердің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егу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дозасын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төмендету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кезінде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антигендердің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иммуногендігін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арттыруға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ықпал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етеді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.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Полиоксидоний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сондай-ақ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антигендердің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үлкен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тұрақтылығын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және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тұмау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антигендеріне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иммунологиялық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жадыны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неғұрлым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тиімді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қалыптастыруды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қамтамасыз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етеді</w:t>
            </w:r>
            <w:proofErr w:type="spellEnd"/>
            <w:r w:rsidR="00B96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A664E7" w:rsidRDefault="00A664E7">
            <w:pPr>
              <w:widowControl w:val="0"/>
              <w:spacing w:line="240" w:lineRule="auto"/>
              <w:ind w:left="60" w:right="-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</w:pPr>
            <w:proofErr w:type="spellStart"/>
            <w:proofErr w:type="gram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Квадривале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вакцинасын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ҒӨО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Петровакс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ООО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тауық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эмбриондарында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өсірілген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(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сапасы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SPF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Ресей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ФГУП СПб НИИВС ФМБА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өндірген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тұмау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вирусының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жоғары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тазаланған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антигендерін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пайдаланады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Квадривалент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вакцинасын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өндіру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автоматтандыры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компьютерленген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желілерде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Таза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жайлар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»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жағдайында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жүзеге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асырылады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Вакцина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өндірісінің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барлық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кезеңдері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мен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қолданылатын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компоненттер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GMP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халықаралық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сапа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стандарттарына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келеді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  <w:p w:rsidR="00A664E7" w:rsidRPr="00A664E7" w:rsidRDefault="00A664E7" w:rsidP="00A664E7">
            <w:pPr>
              <w:widowControl w:val="0"/>
              <w:spacing w:line="240" w:lineRule="auto"/>
              <w:ind w:left="60" w:right="-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</w:pPr>
            <w:r w:rsidRPr="00A664E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Екі клиникалық зерттеулердің нәтижелері бойынша тұмаудың алдын алу үшін тұмаудың тұмауы Квадривалент вакцинасының қауіпсіздігі және оның тиімділігі дәлелденді. Гриппол ° Квадривалент вакцинасы тұмауға қарсы вакциналарға қойылатын GMP халықаралық талаптарын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 сәйкес келеді.</w:t>
            </w:r>
          </w:p>
          <w:p w:rsidR="00357EE5" w:rsidRPr="00D979E4" w:rsidRDefault="00A664E7" w:rsidP="00A664E7">
            <w:pPr>
              <w:widowControl w:val="0"/>
              <w:spacing w:line="240" w:lineRule="auto"/>
              <w:ind w:left="60" w:right="3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979E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Вакцинаның қауіпсіздік профилі Гриппол  Квадривалент оң болып қалады. Вакцинаны қолданудың пайдасы препаратты енгізгеннен кейін жағымсыз реакциялардың даму қаупінен асып түседі</w:t>
            </w:r>
            <w:r w:rsidR="00B96E6D" w:rsidRPr="00D979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357EE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B96E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4E7" w:rsidRPr="00A573E8" w:rsidRDefault="00A664E7" w:rsidP="00A664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Фармакологиялық қадағалау</w:t>
            </w:r>
          </w:p>
          <w:p w:rsidR="00357EE5" w:rsidRDefault="00357EE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357EE5" w:rsidRDefault="00357EE5">
      <w:pPr>
        <w:sectPr w:rsidR="00357EE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357EE5">
        <w:trPr>
          <w:cantSplit/>
          <w:trHeight w:hRule="exact" w:val="7511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A664E7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after="14" w:line="200" w:lineRule="exact"/>
              <w:rPr>
                <w:sz w:val="20"/>
                <w:szCs w:val="20"/>
              </w:rPr>
            </w:pPr>
          </w:p>
          <w:p w:rsidR="00357EE5" w:rsidRDefault="00A664E7">
            <w:pPr>
              <w:widowControl w:val="0"/>
              <w:spacing w:line="240" w:lineRule="auto"/>
              <w:ind w:left="60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«ҒӨО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Петровакс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» ООО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компаниясынан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Гриппол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Квадривалент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препаратының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ДРУ,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төрт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валентті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инактив</w:t>
            </w:r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ирленген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субъювантты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гриппозды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в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акцина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қауіпсіздікті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тіркеуден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кейінгі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бақылау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бойынша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міндеттер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мен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міндетте</w:t>
            </w:r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меле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рді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орындау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үшін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қадағалау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бар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екендігі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туралы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Декларация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ұсынылған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. 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Ұсынылған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: ДРУ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қызметінің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ұйымдастыру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құрылымы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компьютерленген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жүйелер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фармакоқадағалау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бойынша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деректер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базасы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фармакоқадағалау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процестері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олардың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сипаттамасы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сапа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бойынша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рәсімдер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фармакоқадағалау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</w:t>
            </w:r>
            <w:proofErr w:type="spell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қо</w:t>
            </w:r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лдану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сапа </w:t>
            </w:r>
            <w:proofErr w:type="spellStart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рәсімдеу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құжаттар</w:t>
            </w:r>
            <w:proofErr w:type="spellEnd"/>
            <w:r w:rsidR="004747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ы </w:t>
            </w:r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proofErr w:type="gramEnd"/>
            <w:r w:rsidRPr="00A664E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т. б.</w:t>
            </w:r>
            <w:r w:rsidR="00B96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57EE5" w:rsidRDefault="00357EE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729" w:rsidRPr="00474729" w:rsidRDefault="00474729" w:rsidP="00474729">
            <w:pPr>
              <w:widowControl w:val="0"/>
              <w:spacing w:line="240" w:lineRule="auto"/>
              <w:ind w:left="60" w:right="71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« ҒӨО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Петровакс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» ООО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логиялық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қадағалау</w:t>
            </w:r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ақпарат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Орановская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Екатерина Владимировна) резюме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оның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біліктілігін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растайтын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құжаттар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ұсынылды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474729" w:rsidRPr="00474729" w:rsidRDefault="00474729" w:rsidP="00474729">
            <w:pPr>
              <w:widowControl w:val="0"/>
              <w:spacing w:line="240" w:lineRule="auto"/>
              <w:ind w:left="60" w:right="71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474729" w:rsidRPr="00474729" w:rsidRDefault="00474729" w:rsidP="00474729">
            <w:pPr>
              <w:widowControl w:val="0"/>
              <w:spacing w:line="240" w:lineRule="auto"/>
              <w:ind w:left="60" w:right="71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ҚР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колгиялық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қадағалау </w:t>
            </w:r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proofErr w:type="gram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жауапты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(Волкова Елена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Анатольевна): - ҚР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логиялық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қадағалау </w:t>
            </w:r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жауапты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тұлғаның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тағайындалғанын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растайтын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құжат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474729" w:rsidRPr="00474729" w:rsidRDefault="00474729" w:rsidP="00474729">
            <w:pPr>
              <w:widowControl w:val="0"/>
              <w:spacing w:line="240" w:lineRule="auto"/>
              <w:ind w:left="60" w:right="71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357EE5" w:rsidRDefault="00474729" w:rsidP="00474729">
            <w:pPr>
              <w:widowControl w:val="0"/>
              <w:spacing w:line="240" w:lineRule="auto"/>
              <w:ind w:left="60" w:right="1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Гриппол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Квадривалент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вакцинасын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медициналық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тәуекелдерді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басқару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жоспары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берілген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357EE5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47472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Pr="00A573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/>
        </w:tc>
      </w:tr>
      <w:tr w:rsidR="00357EE5">
        <w:trPr>
          <w:cantSplit/>
          <w:trHeight w:hRule="exact" w:val="17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line="240" w:lineRule="exact"/>
              <w:rPr>
                <w:sz w:val="24"/>
                <w:szCs w:val="24"/>
              </w:rPr>
            </w:pPr>
          </w:p>
          <w:p w:rsidR="00357EE5" w:rsidRDefault="00357EE5">
            <w:pPr>
              <w:spacing w:after="39" w:line="240" w:lineRule="exact"/>
              <w:rPr>
                <w:sz w:val="24"/>
                <w:szCs w:val="24"/>
              </w:rPr>
            </w:pPr>
          </w:p>
          <w:p w:rsidR="00357EE5" w:rsidRDefault="00B96E6D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47472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E5" w:rsidRDefault="00357EE5">
            <w:pPr>
              <w:spacing w:after="14" w:line="200" w:lineRule="exact"/>
              <w:rPr>
                <w:sz w:val="20"/>
                <w:szCs w:val="20"/>
              </w:rPr>
            </w:pPr>
          </w:p>
          <w:p w:rsidR="00474729" w:rsidRPr="00474729" w:rsidRDefault="00474729" w:rsidP="0047472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Құрамында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шприці</w:t>
            </w:r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бар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аптама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рецепт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босатылады</w:t>
            </w:r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</w:p>
          <w:p w:rsidR="00474729" w:rsidRPr="00474729" w:rsidRDefault="00474729" w:rsidP="0047472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</w:pPr>
          </w:p>
          <w:p w:rsidR="00357EE5" w:rsidRDefault="00474729" w:rsidP="0047472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5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немесе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10 шприц, 1, 10, 20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немесе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50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құтыдан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тұратын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қаптама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рецепт бойынша </w:t>
            </w:r>
            <w:proofErr w:type="spellStart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емдеу</w:t>
            </w:r>
            <w:proofErr w:type="spellEnd"/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профилактикалық </w:t>
            </w:r>
            <w:r w:rsidRPr="004747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мекемелерден босатылады. </w:t>
            </w:r>
          </w:p>
          <w:p w:rsidR="00357EE5" w:rsidRDefault="00357EE5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EE5" w:rsidRDefault="00B96E6D">
            <w:pPr>
              <w:widowControl w:val="0"/>
              <w:spacing w:line="240" w:lineRule="auto"/>
              <w:ind w:left="60" w:right="34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держащая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0, 20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отпу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357EE5" w:rsidRDefault="00B96E6D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57EE5" w:rsidRPr="005A7DD4" w:rsidRDefault="00B96E6D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5A7DD4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357EE5" w:rsidRPr="005A7DD4" w:rsidRDefault="00B96E6D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5A7DD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357EE5" w:rsidRPr="005A7DD4" w:rsidRDefault="00D979E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4">
                              <w:r w:rsidR="00B96E6D" w:rsidRPr="005A7DD4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357EE5" w:rsidRPr="005A7DD4" w:rsidRDefault="00B96E6D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5A7DD4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357EE5" w:rsidRPr="005A7DD4" w:rsidRDefault="00B96E6D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5A7DD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357EE5" w:rsidRPr="005A7DD4" w:rsidRDefault="00D979E4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B96E6D" w:rsidRPr="005A7DD4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57EE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E5"/>
    <w:rsid w:val="000146F9"/>
    <w:rsid w:val="001D39E9"/>
    <w:rsid w:val="00357EE5"/>
    <w:rsid w:val="00404D74"/>
    <w:rsid w:val="00474729"/>
    <w:rsid w:val="00595FD8"/>
    <w:rsid w:val="005A7DD4"/>
    <w:rsid w:val="00980BEA"/>
    <w:rsid w:val="00A664E7"/>
    <w:rsid w:val="00B96E6D"/>
    <w:rsid w:val="00D979E4"/>
    <w:rsid w:val="00D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D14E7-166F-4201-8970-16EC0E5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hyperlink" Target="https://www.sautinsoft.com/products/pdf-focus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Айжан Алдангорова</cp:lastModifiedBy>
  <cp:revision>2</cp:revision>
  <dcterms:created xsi:type="dcterms:W3CDTF">2020-01-16T02:47:00Z</dcterms:created>
  <dcterms:modified xsi:type="dcterms:W3CDTF">2020-01-16T02:47:00Z</dcterms:modified>
</cp:coreProperties>
</file>