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06" w:rsidRPr="00846451" w:rsidRDefault="00E41806" w:rsidP="00E41806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Күні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өр орны </w:t>
      </w:r>
    </w:p>
    <w:p w:rsidR="00E41806" w:rsidRDefault="00E41806" w:rsidP="00E418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1806" w:rsidRDefault="00E41806" w:rsidP="00E4180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1806" w:rsidRDefault="00E41806" w:rsidP="00E41806">
      <w:pPr>
        <w:sectPr w:rsidR="00E41806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E41806" w:rsidRDefault="00E41806" w:rsidP="00E41806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EC2E41" w:rsidRDefault="00450C13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EC2E41" w:rsidRDefault="00EC2E41">
      <w:pPr>
        <w:sectPr w:rsidR="00EC2E41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EC2E41" w:rsidRDefault="00EC2E41">
      <w:pPr>
        <w:spacing w:after="16" w:line="140" w:lineRule="exact"/>
        <w:rPr>
          <w:sz w:val="14"/>
          <w:szCs w:val="14"/>
        </w:rPr>
      </w:pPr>
    </w:p>
    <w:p w:rsidR="00E41806" w:rsidRDefault="00E41806" w:rsidP="00E41806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мен сапасы жөніндегі жиынтық есеп</w:t>
      </w:r>
    </w:p>
    <w:p w:rsidR="00EC2E41" w:rsidRDefault="00EC2E4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C2E41" w:rsidRDefault="00EC2E4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C2E41" w:rsidRDefault="00EC2E4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C2E41" w:rsidRDefault="00EC2E4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C2E41" w:rsidRDefault="00EC2E4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C2E41" w:rsidRDefault="00EC2E4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C2E41" w:rsidRDefault="00EC2E41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EC2E41" w:rsidRDefault="00450C13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8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EC2E41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2E41" w:rsidRDefault="00E41806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2E41" w:rsidRDefault="00EC2E41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C2E41" w:rsidRDefault="00450C13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нци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proofErr w:type="spellEnd"/>
                                </w:p>
                              </w:tc>
                            </w:tr>
                            <w:tr w:rsidR="00EC2E41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2E41" w:rsidRDefault="00E4180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2E41" w:rsidRDefault="00450C1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EC2E41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2E41" w:rsidRPr="00E41806" w:rsidRDefault="00E41806" w:rsidP="00E41806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2E41" w:rsidRDefault="00450C1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ОВЕ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F4287D" w:rsidRDefault="00F4287D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EC2E41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2E41" w:rsidRDefault="00E41806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2E41" w:rsidRDefault="00EC2E41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C2E41" w:rsidRDefault="00450C13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нци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proofErr w:type="spellEnd"/>
                          </w:p>
                        </w:tc>
                      </w:tr>
                      <w:tr w:rsidR="00EC2E41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2E41" w:rsidRDefault="00E4180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2E41" w:rsidRDefault="00450C1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д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.,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</w:p>
                        </w:tc>
                      </w:tr>
                      <w:tr w:rsidR="00EC2E41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2E41" w:rsidRPr="00E41806" w:rsidRDefault="00E41806" w:rsidP="00E41806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2E41" w:rsidRDefault="00450C1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ОВЕ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F4287D" w:rsidRDefault="00F4287D"/>
                  </w:txbxContent>
                </v:textbox>
                <w10:wrap anchorx="page"/>
              </v:shape>
            </w:pict>
          </mc:Fallback>
        </mc:AlternateContent>
      </w:r>
      <w:r w:rsidR="00E41806" w:rsidRPr="00E41806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E41806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</w:p>
    <w:p w:rsidR="00EC2E41" w:rsidRDefault="00EC2E4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C2E41" w:rsidRDefault="00EC2E41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EC2E41" w:rsidRDefault="00450C13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4180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EC2E41" w:rsidRDefault="00EC2E41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EC2E41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450C1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E41806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EC2E41" w:rsidRDefault="00EC2E41">
      <w:pPr>
        <w:spacing w:after="3" w:line="220" w:lineRule="exact"/>
      </w:pPr>
    </w:p>
    <w:p w:rsidR="00EC2E41" w:rsidRDefault="00450C13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41806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EC2E41" w:rsidRDefault="00EC2E41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EC2E41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450C1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E4180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EC2E41">
        <w:trPr>
          <w:cantSplit/>
          <w:trHeight w:hRule="exact" w:val="44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after="11" w:line="180" w:lineRule="exact"/>
              <w:rPr>
                <w:sz w:val="18"/>
                <w:szCs w:val="18"/>
              </w:rPr>
            </w:pPr>
          </w:p>
          <w:p w:rsidR="00EC2E41" w:rsidRDefault="00450C1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Pr="00135EEE" w:rsidRDefault="00E41806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EEE" w:rsidRPr="00135EEE" w:rsidRDefault="00135EEE" w:rsidP="00135EEE">
            <w:pPr>
              <w:widowControl w:val="0"/>
              <w:tabs>
                <w:tab w:val="left" w:pos="495"/>
                <w:tab w:val="left" w:pos="1299"/>
                <w:tab w:val="left" w:pos="1651"/>
                <w:tab w:val="left" w:pos="2056"/>
                <w:tab w:val="left" w:pos="2871"/>
                <w:tab w:val="left" w:pos="3276"/>
                <w:tab w:val="left" w:pos="3929"/>
                <w:tab w:val="left" w:pos="4377"/>
                <w:tab w:val="left" w:pos="5044"/>
                <w:tab w:val="left" w:pos="568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парацетамол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Еуропалық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фармакопея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монографиясының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 R</w:t>
            </w:r>
            <w:proofErr w:type="gram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2-CEP 1995-034-Rev-06. ), EDQM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берген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AE27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AE27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бірізді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35EEE" w:rsidRPr="00135EEE" w:rsidRDefault="00135EEE" w:rsidP="00135EEE">
            <w:pPr>
              <w:widowControl w:val="0"/>
              <w:tabs>
                <w:tab w:val="left" w:pos="495"/>
                <w:tab w:val="left" w:pos="1299"/>
                <w:tab w:val="left" w:pos="1651"/>
                <w:tab w:val="left" w:pos="2056"/>
                <w:tab w:val="left" w:pos="2871"/>
                <w:tab w:val="left" w:pos="3276"/>
                <w:tab w:val="left" w:pos="3929"/>
                <w:tab w:val="left" w:pos="4377"/>
                <w:tab w:val="left" w:pos="5044"/>
                <w:tab w:val="left" w:pos="568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C2E41" w:rsidRDefault="00135EEE" w:rsidP="00135EEE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AE27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13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EC2E41" w:rsidRDefault="00EC2E41">
      <w:pPr>
        <w:sectPr w:rsidR="00EC2E41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EC2E41">
        <w:trPr>
          <w:cantSplit/>
          <w:trHeight w:hRule="exact" w:val="58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line="240" w:lineRule="exact"/>
              <w:rPr>
                <w:sz w:val="24"/>
                <w:szCs w:val="24"/>
              </w:rPr>
            </w:pPr>
          </w:p>
          <w:p w:rsidR="00EC2E41" w:rsidRDefault="00EC2E41">
            <w:pPr>
              <w:spacing w:after="14" w:line="120" w:lineRule="exact"/>
              <w:rPr>
                <w:sz w:val="12"/>
                <w:szCs w:val="12"/>
              </w:rPr>
            </w:pPr>
          </w:p>
          <w:p w:rsidR="00EC2E41" w:rsidRDefault="00450C1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1274CE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4CE" w:rsidRPr="001274CE" w:rsidRDefault="001274CE" w:rsidP="001274CE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дәрілік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мынадай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апельсин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хош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иістендіргіші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шабдалы-өрік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хош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иістендіргіші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лимон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хош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иістендіргіші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гуар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галактоманнан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шайыры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тұндырылған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кремний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диоксиді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сусыз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лимон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қышқылы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натрий бензоаты (консервант), тальк, аспартам,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сусыз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натрий цитраты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1274CE" w:rsidRPr="001274CE" w:rsidRDefault="001274CE" w:rsidP="001274CE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C2E41" w:rsidRDefault="001274CE" w:rsidP="001274CE">
            <w:pPr>
              <w:widowControl w:val="0"/>
              <w:tabs>
                <w:tab w:val="left" w:pos="1657"/>
                <w:tab w:val="left" w:pos="2209"/>
                <w:tab w:val="left" w:pos="2897"/>
                <w:tab w:val="left" w:pos="3685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Қазақстан Республикасының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БФ 2017, ФСША 41).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іріктелді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негізделді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бойынша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74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расталды</w:t>
            </w:r>
            <w:proofErr w:type="spellEnd"/>
            <w:r w:rsidR="00450C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EC2E41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450C1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1274C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450C1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450C1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450C1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450C13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450C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EC2E41">
        <w:trPr>
          <w:cantSplit/>
          <w:trHeight w:hRule="exact" w:val="9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EC2E41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EC2E41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EC2E41"/>
        </w:tc>
      </w:tr>
      <w:tr w:rsidR="00EC2E41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450C1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Pr="001274CE" w:rsidRDefault="001274CE" w:rsidP="001274CE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Фармакологиялық қадағалау </w:t>
            </w:r>
          </w:p>
        </w:tc>
      </w:tr>
      <w:tr w:rsidR="00EC2E41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EC2E41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1274C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Клиникаға дейінгі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спе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ілер</w:t>
            </w:r>
            <w:bookmarkStart w:id="0" w:name="_GoBack"/>
            <w:bookmarkEnd w:id="0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E41" w:rsidRDefault="00EC2E41"/>
        </w:tc>
      </w:tr>
    </w:tbl>
    <w:p w:rsidR="00EC2E41" w:rsidRDefault="00450C13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EC2E41" w:rsidRPr="00450C13" w:rsidRDefault="00450C1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450C13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EC2E41" w:rsidRPr="00450C13" w:rsidRDefault="00450C1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450C13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EC2E41" w:rsidRPr="00450C13" w:rsidRDefault="00143FB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4">
                              <w:r w:rsidR="00450C13" w:rsidRPr="00450C13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EC2E41" w:rsidRPr="00450C13" w:rsidRDefault="00450C13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450C13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EC2E41" w:rsidRPr="00450C13" w:rsidRDefault="00450C13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450C13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EC2E41" w:rsidRPr="00450C13" w:rsidRDefault="00143FB7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5">
                        <w:r w:rsidR="00450C13" w:rsidRPr="00450C13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C2E41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41"/>
    <w:rsid w:val="001274CE"/>
    <w:rsid w:val="00135EEE"/>
    <w:rsid w:val="00143FB7"/>
    <w:rsid w:val="00450C13"/>
    <w:rsid w:val="00AE27D5"/>
    <w:rsid w:val="00E41806"/>
    <w:rsid w:val="00E82A8C"/>
    <w:rsid w:val="00EC2E41"/>
    <w:rsid w:val="00F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E43B"/>
  <w15:docId w15:val="{662734B5-26E9-49DB-BA28-1FDEDE71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hyperlink" Target="https://www.sautinsoft.com/products/pdf-focus/ord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Ayzhan A. Aldangorova</dc:creator>
  <cp:lastModifiedBy>Saule B. Shakirova</cp:lastModifiedBy>
  <cp:revision>2</cp:revision>
  <dcterms:created xsi:type="dcterms:W3CDTF">2020-01-29T07:21:00Z</dcterms:created>
  <dcterms:modified xsi:type="dcterms:W3CDTF">2020-01-29T07:21:00Z</dcterms:modified>
</cp:coreProperties>
</file>