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B2D6B" w14:textId="77777777" w:rsidR="00603E92" w:rsidRPr="001241EE" w:rsidRDefault="00603E92" w:rsidP="00603E92">
      <w:pPr>
        <w:widowControl w:val="0"/>
        <w:spacing w:line="240" w:lineRule="auto"/>
        <w:ind w:left="-68" w:right="857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241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Күні</w:t>
      </w:r>
      <w:r w:rsidRPr="00124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</w:t>
      </w:r>
      <w:r w:rsidRPr="00124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124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 w:rsidRPr="00124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41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өр орны </w:t>
      </w:r>
    </w:p>
    <w:p w14:paraId="7FBA484B" w14:textId="77777777" w:rsidR="00603E92" w:rsidRDefault="00603E92" w:rsidP="00603E9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747110" w14:textId="77777777" w:rsidR="00603E92" w:rsidRDefault="00603E92" w:rsidP="00603E92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224A8E" w14:textId="77777777" w:rsidR="00603E92" w:rsidRDefault="00603E92" w:rsidP="00603E92">
      <w:pPr>
        <w:sectPr w:rsidR="00603E92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14:paraId="3C92F7F6" w14:textId="77777777" w:rsidR="00603E92" w:rsidRDefault="00603E92" w:rsidP="00603E92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kk-KZ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әр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қсат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кас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апта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лтт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ү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нда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спубликал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кәс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орн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</w:p>
    <w:p w14:paraId="6D3F720E" w14:textId="77777777" w:rsidR="00603E92" w:rsidRDefault="00603E92" w:rsidP="00603E92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рия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озя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ртиз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лекарств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средст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диц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хни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</w:p>
    <w:p w14:paraId="36076D2F" w14:textId="77777777" w:rsidR="00603E92" w:rsidRDefault="00603E92" w:rsidP="00603E92">
      <w:pPr>
        <w:sectPr w:rsidR="00603E92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14:paraId="55F485B4" w14:textId="77777777" w:rsidR="00603E92" w:rsidRDefault="00603E92" w:rsidP="00603E92">
      <w:pPr>
        <w:spacing w:after="16" w:line="140" w:lineRule="exact"/>
        <w:rPr>
          <w:sz w:val="14"/>
          <w:szCs w:val="14"/>
        </w:rPr>
      </w:pPr>
    </w:p>
    <w:p w14:paraId="20BA3E3B" w14:textId="77777777" w:rsidR="00603E92" w:rsidRPr="001241EE" w:rsidRDefault="00603E92" w:rsidP="00603E92">
      <w:pPr>
        <w:widowControl w:val="0"/>
        <w:spacing w:line="240" w:lineRule="auto"/>
        <w:ind w:left="3964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  <w:lang w:val="kk-KZ"/>
        </w:rPr>
      </w:pPr>
      <w:r w:rsidRPr="001241EE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8"/>
          <w:szCs w:val="28"/>
          <w:lang w:val="kk-KZ"/>
        </w:rPr>
        <w:t>Дәрілік препараттың қауіпсіздігі, тиімділігі мен сапасы жөніндегі жиынтық есеп</w:t>
      </w:r>
    </w:p>
    <w:p w14:paraId="23F2303B" w14:textId="77777777" w:rsidR="00603E92" w:rsidRPr="003604CF" w:rsidRDefault="00603E92" w:rsidP="00603E92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</w:p>
    <w:p w14:paraId="07DD478B" w14:textId="77777777" w:rsidR="00A057C5" w:rsidRPr="00603E92" w:rsidRDefault="00A057C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</w:p>
    <w:p w14:paraId="4F0E59DD" w14:textId="77777777" w:rsidR="00A057C5" w:rsidRDefault="00A057C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14:paraId="749A603A" w14:textId="77777777" w:rsidR="00A057C5" w:rsidRDefault="00A057C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14:paraId="616A9551" w14:textId="77777777" w:rsidR="00A057C5" w:rsidRDefault="00A057C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14:paraId="50EF3531" w14:textId="77777777" w:rsidR="00A057C5" w:rsidRDefault="00A057C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14:paraId="03D880CE" w14:textId="77777777" w:rsidR="00A057C5" w:rsidRDefault="00A057C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14:paraId="23D216CF" w14:textId="77777777" w:rsidR="00A057C5" w:rsidRDefault="00A057C5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</w:rPr>
      </w:pPr>
    </w:p>
    <w:p w14:paraId="4DC1D0F9" w14:textId="37DC9A26" w:rsidR="00A057C5" w:rsidRDefault="0064350A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17" behindDoc="1" locked="0" layoutInCell="0" allowOverlap="1" wp14:anchorId="4B58634B" wp14:editId="18E60433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88"/>
                              <w:gridCol w:w="6576"/>
                            </w:tblGrid>
                            <w:tr w:rsidR="00A057C5" w14:paraId="687A13F3" w14:textId="77777777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E755743" w14:textId="65C38CE8" w:rsidR="00A057C5" w:rsidRDefault="00603E92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Дәрілік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пре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арат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>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6A19BF3" w14:textId="77777777" w:rsidR="00A057C5" w:rsidRDefault="00A057C5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0E8A7CC" w14:textId="77777777" w:rsidR="00A057C5" w:rsidRDefault="0064350A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Каберли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proofErr w:type="spellEnd"/>
                                </w:p>
                              </w:tc>
                            </w:tr>
                            <w:tr w:rsidR="00A057C5" w14:paraId="0CD9FE3D" w14:textId="77777777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E5C3F20" w14:textId="19CB4DD3" w:rsidR="00A057C5" w:rsidRPr="00603E92" w:rsidRDefault="00603E92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Өндіруші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EE6D0B" w14:textId="77777777" w:rsidR="00A057C5" w:rsidRDefault="0064350A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n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Ph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3"/>
                                      <w:szCs w:val="2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eu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stri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057C5" w14:paraId="6765AFCC" w14:textId="77777777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1FB2954" w14:textId="5AEDF80E" w:rsidR="00A057C5" w:rsidRPr="00603E92" w:rsidRDefault="00603E92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Елі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B6D33B6" w14:textId="6F25605F" w:rsidR="00A057C5" w:rsidRPr="00603E92" w:rsidRDefault="00603E92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  <w:lang w:val="kk-KZ"/>
                                    </w:rPr>
                                    <w:t>ҮНДІСТАН</w:t>
                                  </w:r>
                                </w:p>
                              </w:tc>
                            </w:tr>
                          </w:tbl>
                          <w:p w14:paraId="4316076A" w14:textId="77777777" w:rsidR="00D71018" w:rsidRDefault="00D71018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58634B"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88"/>
                        <w:gridCol w:w="6576"/>
                      </w:tblGrid>
                      <w:tr w:rsidR="00A057C5" w14:paraId="687A13F3" w14:textId="77777777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E755743" w14:textId="65C38CE8" w:rsidR="00A057C5" w:rsidRDefault="00603E92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 xml:space="preserve">Дәрілік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пре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арат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>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6A19BF3" w14:textId="77777777" w:rsidR="00A057C5" w:rsidRDefault="00A057C5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0E8A7CC" w14:textId="77777777" w:rsidR="00A057C5" w:rsidRDefault="0064350A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Каберли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н</w:t>
                            </w:r>
                            <w:proofErr w:type="spellEnd"/>
                          </w:p>
                        </w:tc>
                      </w:tr>
                      <w:tr w:rsidR="00A057C5" w14:paraId="0CD9FE3D" w14:textId="77777777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E5C3F20" w14:textId="19CB4DD3" w:rsidR="00A057C5" w:rsidRPr="00603E92" w:rsidRDefault="00603E92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Өндіруші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EE6D0B" w14:textId="77777777" w:rsidR="00A057C5" w:rsidRDefault="0064350A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Ph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3"/>
                                <w:szCs w:val="23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eu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stri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c>
                      </w:tr>
                      <w:tr w:rsidR="00A057C5" w14:paraId="6765AFCC" w14:textId="77777777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1FB2954" w14:textId="5AEDF80E" w:rsidR="00A057C5" w:rsidRPr="00603E92" w:rsidRDefault="00603E92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Елі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B6D33B6" w14:textId="6F25605F" w:rsidR="00A057C5" w:rsidRPr="00603E92" w:rsidRDefault="00603E92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  <w:lang w:val="kk-KZ"/>
                              </w:rPr>
                              <w:t>ҮНДІСТАН</w:t>
                            </w:r>
                          </w:p>
                        </w:tc>
                      </w:tr>
                    </w:tbl>
                    <w:p w14:paraId="4316076A" w14:textId="77777777" w:rsidR="00D71018" w:rsidRDefault="00D71018"/>
                  </w:txbxContent>
                </v:textbox>
                <w10:wrap anchorx="page"/>
              </v:shape>
            </w:pict>
          </mc:Fallback>
        </mc:AlternateContent>
      </w:r>
      <w:r w:rsidR="00603E92" w:rsidRPr="00603E92"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 xml:space="preserve"> </w:t>
      </w:r>
      <w:r w:rsidR="00603E92"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>Есептен құпия ақпарат жойылды</w:t>
      </w:r>
    </w:p>
    <w:p w14:paraId="1F7ACF21" w14:textId="77777777" w:rsidR="00A057C5" w:rsidRDefault="00A057C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14:paraId="4568E354" w14:textId="77777777" w:rsidR="00A057C5" w:rsidRDefault="00A057C5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14:paraId="63E5EC26" w14:textId="25BE0D4D" w:rsidR="00A057C5" w:rsidRDefault="0064350A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603E9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kk-KZ"/>
        </w:rPr>
        <w:t>Рәсімі туралы анықтамалық ақпарат</w:t>
      </w:r>
    </w:p>
    <w:p w14:paraId="06A15775" w14:textId="77777777" w:rsidR="00A057C5" w:rsidRDefault="00A057C5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184"/>
      </w:tblGrid>
      <w:tr w:rsidR="00A057C5" w14:paraId="7831A49A" w14:textId="77777777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4DB53" w14:textId="77777777" w:rsidR="00A057C5" w:rsidRDefault="0064350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EE55B" w14:textId="4361A3DD" w:rsidR="00A057C5" w:rsidRDefault="00603E92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Мемлекеттік тіркеу кезінде  дәрілік заттың сараптамасын жүргізуге тіркеу дерекнамасын беру</w:t>
            </w:r>
          </w:p>
        </w:tc>
      </w:tr>
    </w:tbl>
    <w:p w14:paraId="2384B244" w14:textId="77777777" w:rsidR="00A057C5" w:rsidRDefault="00A057C5">
      <w:pPr>
        <w:spacing w:after="3" w:line="220" w:lineRule="exact"/>
      </w:pPr>
    </w:p>
    <w:p w14:paraId="34B79A2B" w14:textId="78B83EC3" w:rsidR="00A057C5" w:rsidRDefault="0064350A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603E92">
        <w:rPr>
          <w:rFonts w:ascii="Times New Roman" w:eastAsia="Times New Roman" w:hAnsi="Times New Roman" w:cs="Times New Roman"/>
          <w:color w:val="000000"/>
          <w:spacing w:val="6"/>
          <w:w w:val="103"/>
          <w:sz w:val="26"/>
          <w:szCs w:val="26"/>
          <w:lang w:val="kk-KZ"/>
        </w:rPr>
        <w:t>Ғылыми талқылау</w:t>
      </w:r>
    </w:p>
    <w:p w14:paraId="02A237B2" w14:textId="77777777" w:rsidR="00A057C5" w:rsidRDefault="00A057C5">
      <w:pPr>
        <w:spacing w:line="32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A057C5" w14:paraId="55AA964B" w14:textId="77777777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F5380" w14:textId="77777777" w:rsidR="00A057C5" w:rsidRDefault="0064350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312F2" w14:textId="16B9A69E" w:rsidR="00A057C5" w:rsidRDefault="00603E9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Сапа аспектілері</w:t>
            </w:r>
          </w:p>
        </w:tc>
      </w:tr>
      <w:tr w:rsidR="00A057C5" w14:paraId="3FE48243" w14:textId="77777777">
        <w:trPr>
          <w:cantSplit/>
          <w:trHeight w:hRule="exact" w:val="36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4A6EC" w14:textId="77777777" w:rsidR="00A057C5" w:rsidRDefault="00A057C5">
            <w:pPr>
              <w:spacing w:line="240" w:lineRule="exact"/>
              <w:rPr>
                <w:sz w:val="24"/>
                <w:szCs w:val="24"/>
              </w:rPr>
            </w:pPr>
          </w:p>
          <w:p w14:paraId="26945FE3" w14:textId="77777777" w:rsidR="00A057C5" w:rsidRDefault="00A057C5">
            <w:pPr>
              <w:spacing w:line="240" w:lineRule="exact"/>
              <w:rPr>
                <w:sz w:val="24"/>
                <w:szCs w:val="24"/>
              </w:rPr>
            </w:pPr>
          </w:p>
          <w:p w14:paraId="252F4B21" w14:textId="77777777" w:rsidR="00A057C5" w:rsidRDefault="00A057C5">
            <w:pPr>
              <w:spacing w:line="240" w:lineRule="exact"/>
              <w:rPr>
                <w:sz w:val="24"/>
                <w:szCs w:val="24"/>
              </w:rPr>
            </w:pPr>
          </w:p>
          <w:p w14:paraId="2261E54A" w14:textId="77777777" w:rsidR="00A057C5" w:rsidRDefault="00A057C5">
            <w:pPr>
              <w:spacing w:line="240" w:lineRule="exact"/>
              <w:rPr>
                <w:sz w:val="24"/>
                <w:szCs w:val="24"/>
              </w:rPr>
            </w:pPr>
          </w:p>
          <w:p w14:paraId="20A6197B" w14:textId="77777777" w:rsidR="00A057C5" w:rsidRDefault="00A057C5">
            <w:pPr>
              <w:spacing w:line="240" w:lineRule="exact"/>
              <w:rPr>
                <w:sz w:val="24"/>
                <w:szCs w:val="24"/>
              </w:rPr>
            </w:pPr>
          </w:p>
          <w:p w14:paraId="1F2C561B" w14:textId="77777777" w:rsidR="00A057C5" w:rsidRDefault="00A057C5">
            <w:pPr>
              <w:spacing w:line="240" w:lineRule="exact"/>
              <w:rPr>
                <w:sz w:val="24"/>
                <w:szCs w:val="24"/>
              </w:rPr>
            </w:pPr>
          </w:p>
          <w:p w14:paraId="02F01C29" w14:textId="77777777" w:rsidR="00A057C5" w:rsidRDefault="00A057C5">
            <w:pPr>
              <w:spacing w:after="34" w:line="240" w:lineRule="exact"/>
              <w:rPr>
                <w:sz w:val="24"/>
                <w:szCs w:val="24"/>
              </w:rPr>
            </w:pPr>
          </w:p>
          <w:p w14:paraId="5074F5E9" w14:textId="77777777" w:rsidR="00A057C5" w:rsidRDefault="0064350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ABB26" w14:textId="00F1CBD2" w:rsidR="00A057C5" w:rsidRDefault="00603E92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Белсенді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евт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калық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нци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шығу тегі, сапасы  туралы мәліметті талдау субстанцияны пайдалану мүмкіндігі туралы қорытынды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5DEF2" w14:textId="77777777" w:rsidR="00603E92" w:rsidRPr="00603E92" w:rsidRDefault="00603E92" w:rsidP="00603E92">
            <w:pPr>
              <w:widowControl w:val="0"/>
              <w:tabs>
                <w:tab w:val="left" w:pos="495"/>
                <w:tab w:val="left" w:pos="1071"/>
                <w:tab w:val="left" w:pos="1651"/>
                <w:tab w:val="left" w:pos="1976"/>
                <w:tab w:val="left" w:pos="2871"/>
                <w:tab w:val="left" w:pos="3473"/>
                <w:tab w:val="left" w:pos="3938"/>
                <w:tab w:val="left" w:pos="4198"/>
                <w:tab w:val="left" w:pos="5044"/>
                <w:tab w:val="left" w:pos="5383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Белсенді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субстанция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каберголин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қолданылады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БФС физика-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химиялық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қасиеттері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туралы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ақпарат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субстанциялардың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растау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жеткілікті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көлемде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сериялы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сапаның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тұрақтылығын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дәлелдейді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өнімнің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біртектілігі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сериядан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серияға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дейін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сақталады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процесс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бақылауда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болады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6226C673" w14:textId="77777777" w:rsidR="00603E92" w:rsidRPr="00603E92" w:rsidRDefault="00603E92" w:rsidP="00603E92">
            <w:pPr>
              <w:widowControl w:val="0"/>
              <w:tabs>
                <w:tab w:val="left" w:pos="495"/>
                <w:tab w:val="left" w:pos="1071"/>
                <w:tab w:val="left" w:pos="1651"/>
                <w:tab w:val="left" w:pos="1976"/>
                <w:tab w:val="left" w:pos="2871"/>
                <w:tab w:val="left" w:pos="3473"/>
                <w:tab w:val="left" w:pos="3938"/>
                <w:tab w:val="left" w:pos="4198"/>
                <w:tab w:val="left" w:pos="5044"/>
                <w:tab w:val="left" w:pos="5383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472DB779" w14:textId="04981022" w:rsidR="00A057C5" w:rsidRDefault="00603E92" w:rsidP="00603E92">
            <w:pPr>
              <w:widowControl w:val="0"/>
              <w:spacing w:line="240" w:lineRule="auto"/>
              <w:ind w:left="60" w:right="17" w:firstLine="65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субстанцияның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қолданылатын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әдістерінің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барабарлығын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толық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растайды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БФС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дайын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өнімде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ұсынылады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14:paraId="3C660DFF" w14:textId="77777777" w:rsidR="00A057C5" w:rsidRDefault="00A057C5">
      <w:pPr>
        <w:sectPr w:rsidR="00A057C5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A057C5" w14:paraId="60CBE4DA" w14:textId="77777777">
        <w:trPr>
          <w:cantSplit/>
          <w:trHeight w:hRule="exact" w:val="47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3B851" w14:textId="77777777" w:rsidR="00A057C5" w:rsidRDefault="00A057C5">
            <w:pPr>
              <w:spacing w:line="240" w:lineRule="exact"/>
              <w:rPr>
                <w:sz w:val="24"/>
                <w:szCs w:val="24"/>
              </w:rPr>
            </w:pPr>
          </w:p>
          <w:p w14:paraId="0532DC9D" w14:textId="77777777" w:rsidR="00A057C5" w:rsidRDefault="00A057C5">
            <w:pPr>
              <w:spacing w:line="240" w:lineRule="exact"/>
              <w:rPr>
                <w:sz w:val="24"/>
                <w:szCs w:val="24"/>
              </w:rPr>
            </w:pPr>
          </w:p>
          <w:p w14:paraId="0B4616B4" w14:textId="77777777" w:rsidR="00A057C5" w:rsidRDefault="00A057C5">
            <w:pPr>
              <w:spacing w:line="240" w:lineRule="exact"/>
              <w:rPr>
                <w:sz w:val="24"/>
                <w:szCs w:val="24"/>
              </w:rPr>
            </w:pPr>
          </w:p>
          <w:p w14:paraId="1AE1BC8D" w14:textId="77777777" w:rsidR="00A057C5" w:rsidRDefault="00A057C5">
            <w:pPr>
              <w:spacing w:line="240" w:lineRule="exact"/>
              <w:rPr>
                <w:sz w:val="24"/>
                <w:szCs w:val="24"/>
              </w:rPr>
            </w:pPr>
          </w:p>
          <w:p w14:paraId="610B39CC" w14:textId="77777777" w:rsidR="00A057C5" w:rsidRDefault="00A057C5">
            <w:pPr>
              <w:spacing w:line="240" w:lineRule="exact"/>
              <w:rPr>
                <w:sz w:val="24"/>
                <w:szCs w:val="24"/>
              </w:rPr>
            </w:pPr>
          </w:p>
          <w:p w14:paraId="06B53961" w14:textId="77777777" w:rsidR="00A057C5" w:rsidRDefault="00A057C5">
            <w:pPr>
              <w:spacing w:line="240" w:lineRule="exact"/>
              <w:rPr>
                <w:sz w:val="24"/>
                <w:szCs w:val="24"/>
              </w:rPr>
            </w:pPr>
          </w:p>
          <w:p w14:paraId="7166F1C9" w14:textId="77777777" w:rsidR="00A057C5" w:rsidRDefault="00A057C5">
            <w:pPr>
              <w:spacing w:line="240" w:lineRule="exact"/>
              <w:rPr>
                <w:sz w:val="24"/>
                <w:szCs w:val="24"/>
              </w:rPr>
            </w:pPr>
          </w:p>
          <w:p w14:paraId="1556AB07" w14:textId="77777777" w:rsidR="00A057C5" w:rsidRDefault="00A057C5">
            <w:pPr>
              <w:spacing w:line="240" w:lineRule="exact"/>
              <w:rPr>
                <w:sz w:val="24"/>
                <w:szCs w:val="24"/>
              </w:rPr>
            </w:pPr>
          </w:p>
          <w:p w14:paraId="38EBDA86" w14:textId="77777777" w:rsidR="00A057C5" w:rsidRDefault="00A057C5">
            <w:pPr>
              <w:spacing w:after="81" w:line="240" w:lineRule="exact"/>
              <w:rPr>
                <w:sz w:val="24"/>
                <w:szCs w:val="24"/>
              </w:rPr>
            </w:pPr>
          </w:p>
          <w:p w14:paraId="4B2B1C3F" w14:textId="77777777" w:rsidR="00A057C5" w:rsidRDefault="0064350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7875C" w14:textId="0ED8FBA8" w:rsidR="00A057C5" w:rsidRDefault="00603E92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Қосымша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заттар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сапасы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саны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мәліметтерді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пайдалану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мүмкіндігі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қорытындылармен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FA01B" w14:textId="77777777" w:rsidR="00603E92" w:rsidRPr="00603E92" w:rsidRDefault="00603E92" w:rsidP="00603E92">
            <w:pPr>
              <w:widowControl w:val="0"/>
              <w:tabs>
                <w:tab w:val="left" w:pos="2034"/>
                <w:tab w:val="left" w:pos="3457"/>
                <w:tab w:val="left" w:pos="5058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дәрілік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препаратты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өндіру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кезінде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сападағы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мынадай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эксципиенттер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пайдаланылады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микрокристалды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целлюлоза (РН 200)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L-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лейцитин</w:t>
            </w:r>
            <w:proofErr w:type="spellEnd"/>
          </w:p>
          <w:p w14:paraId="722DE0EE" w14:textId="77777777" w:rsidR="00603E92" w:rsidRPr="00603E92" w:rsidRDefault="00603E92" w:rsidP="00603E92">
            <w:pPr>
              <w:widowControl w:val="0"/>
              <w:tabs>
                <w:tab w:val="left" w:pos="2034"/>
                <w:tab w:val="left" w:pos="3457"/>
                <w:tab w:val="left" w:pos="5058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29EF6A40" w14:textId="651B0258" w:rsidR="00A057C5" w:rsidRDefault="00603E92" w:rsidP="00603E92">
            <w:pPr>
              <w:widowControl w:val="0"/>
              <w:tabs>
                <w:tab w:val="left" w:pos="1657"/>
                <w:tab w:val="left" w:pos="2209"/>
                <w:tab w:val="left" w:pos="3167"/>
                <w:tab w:val="left" w:pos="3685"/>
                <w:tab w:val="left" w:pos="4708"/>
                <w:tab w:val="left" w:pos="5189"/>
                <w:tab w:val="left" w:pos="5864"/>
              </w:tabs>
              <w:spacing w:line="240" w:lineRule="auto"/>
              <w:ind w:left="60" w:right="16" w:firstLine="63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Препарат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құрамында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Қазақстан Республикасының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аумағында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қолдануға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тыйым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салынған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жоқ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;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бояғыштар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адам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немесе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жануар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тектес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пайдаланылмайды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Барлық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заттардың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келеді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ол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әрбір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сертификаттарымен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расталған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(ЕФ 9.5, БФ 2017).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даму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барысында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таңдалды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таңдау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заттың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функционалды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мақсатына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негізделген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компоненттердің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үйлесімділігі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тұрақтылықты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зерттеу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деректерімен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расталған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A057C5" w14:paraId="0D646C87" w14:textId="77777777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7639A" w14:textId="77777777" w:rsidR="00A057C5" w:rsidRDefault="0064350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4CDB4" w14:textId="6FB369EC" w:rsidR="00A057C5" w:rsidRDefault="00603E9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Дәрілік </w:t>
            </w:r>
            <w:r w:rsidR="0064350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64350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</w:t>
            </w:r>
            <w:r w:rsidR="0064350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64350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6435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  <w:tr w:rsidR="00A057C5" w14:paraId="3F8CDFE7" w14:textId="77777777">
        <w:trPr>
          <w:cantSplit/>
          <w:trHeight w:hRule="exact" w:val="216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42D5D" w14:textId="77777777" w:rsidR="00A057C5" w:rsidRDefault="00A057C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D3D14" w14:textId="7BEBB7F6" w:rsidR="00A057C5" w:rsidRDefault="00603E9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Өндірісі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CD826" w14:textId="557EC7F7" w:rsidR="00A057C5" w:rsidRDefault="00603E92">
            <w:pPr>
              <w:widowControl w:val="0"/>
              <w:tabs>
                <w:tab w:val="left" w:pos="1299"/>
                <w:tab w:val="left" w:pos="2169"/>
                <w:tab w:val="left" w:pos="2469"/>
                <w:tab w:val="left" w:pos="3430"/>
                <w:tab w:val="left" w:pos="3867"/>
                <w:tab w:val="left" w:pos="4350"/>
                <w:tab w:val="left" w:pos="5189"/>
                <w:tab w:val="left" w:pos="5566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GMP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қанағаттандыратын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өндіріс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процесінде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өндіріс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пен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бақылау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процесінің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толық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сипаттамасы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келтірілген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.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Валидациялық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сынақтардың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өндіріс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процесі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екенін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дайын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өнімге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компания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сипаттамасының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талаптарына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келетін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сериядан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серияға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өнім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алуға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мүмкіндік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беретінін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көрсетеді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  <w:tr w:rsidR="00A057C5" w14:paraId="3B1219B5" w14:textId="77777777">
        <w:trPr>
          <w:cantSplit/>
          <w:trHeight w:hRule="exact" w:val="390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6804E" w14:textId="77777777" w:rsidR="00A057C5" w:rsidRDefault="00A057C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4EC94" w14:textId="231966FC" w:rsidR="00A057C5" w:rsidRDefault="00603E9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Сапасының өзіндік ерекшелігі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C6720" w14:textId="0FA7705A" w:rsidR="00603E92" w:rsidRPr="00603E92" w:rsidRDefault="00603E92" w:rsidP="00603E92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</w:t>
            </w:r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9.5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стандарттары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r w:rsidRPr="00603E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ICH Q2, Q6A, Q3</w:t>
            </w:r>
            <w:proofErr w:type="gramStart"/>
            <w:r w:rsidRPr="00603E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А</w:t>
            </w:r>
            <w:r w:rsidRPr="00603E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басшылығы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шеңберіндегі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сипаттаманың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негіздемесі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препараттың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Қолданылатын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әдістерінің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сәйкестігін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дәлелдейді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14:paraId="68BD11D0" w14:textId="77777777" w:rsidR="00603E92" w:rsidRPr="00603E92" w:rsidRDefault="00603E92" w:rsidP="00603E92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14:paraId="38613493" w14:textId="77777777" w:rsidR="00603E92" w:rsidRPr="00603E92" w:rsidRDefault="00603E92" w:rsidP="00603E92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Талдамалық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әдістемелердің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жүргізілген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валидациясының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мәлімделген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дәрілік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заттың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күнделікті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үшін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әдістемелерді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қолдану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мүмкіндігін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растайды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14:paraId="042AC758" w14:textId="77777777" w:rsidR="00603E92" w:rsidRPr="00603E92" w:rsidRDefault="00603E92" w:rsidP="00603E92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14:paraId="77EC309E" w14:textId="782E2992" w:rsidR="00A057C5" w:rsidRDefault="00603E92" w:rsidP="00603E92">
            <w:pPr>
              <w:widowControl w:val="0"/>
              <w:tabs>
                <w:tab w:val="left" w:pos="2123"/>
                <w:tab w:val="left" w:pos="2727"/>
                <w:tab w:val="left" w:pos="4306"/>
                <w:tab w:val="left" w:pos="4979"/>
                <w:tab w:val="left" w:pos="5351"/>
                <w:tab w:val="left" w:pos="5856"/>
              </w:tabs>
              <w:spacing w:line="240" w:lineRule="auto"/>
              <w:ind w:left="60" w:right="17" w:firstLine="73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сериялы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сертификаттары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өнімнің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сапа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тұрақтылығы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біртектілігі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сериядан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серияға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сақталатынын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процестің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бақылауда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екенін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дәлелдейді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</w:tbl>
    <w:p w14:paraId="4070F56B" w14:textId="77777777" w:rsidR="00A057C5" w:rsidRDefault="00A057C5">
      <w:pPr>
        <w:sectPr w:rsidR="00A057C5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A057C5" w14:paraId="4AB4CE94" w14:textId="77777777">
        <w:trPr>
          <w:cantSplit/>
          <w:trHeight w:hRule="exact" w:val="4807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3DA58" w14:textId="77777777" w:rsidR="00A057C5" w:rsidRDefault="00A057C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C3EF5" w14:textId="538BB262" w:rsidR="00A057C5" w:rsidRDefault="00603E9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Тұрақтылық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7935A" w14:textId="77777777" w:rsidR="00603E92" w:rsidRPr="00603E92" w:rsidRDefault="00603E92" w:rsidP="00603E92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Тұрақтылық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сынақтары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ICH Q1A (R2), Q1C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талаптарына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жүргізілді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. </w:t>
            </w:r>
          </w:p>
          <w:p w14:paraId="43ACC062" w14:textId="77777777" w:rsidR="00603E92" w:rsidRPr="00603E92" w:rsidRDefault="00603E92" w:rsidP="00603E92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14:paraId="555D3D87" w14:textId="77777777" w:rsidR="00603E92" w:rsidRPr="00603E92" w:rsidRDefault="00603E92" w:rsidP="00603E92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Ұзақ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мерзімді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тұрақтылықты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нәтижелеріне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дайын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препарат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сапасының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сыни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көрсеткіштерінде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айтарлықтай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өзгерістер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байқалмайды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14:paraId="750E3A48" w14:textId="77777777" w:rsidR="00603E92" w:rsidRPr="00603E92" w:rsidRDefault="00603E92" w:rsidP="00603E92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14:paraId="3DDEDEFB" w14:textId="77777777" w:rsidR="00603E92" w:rsidRPr="00603E92" w:rsidRDefault="00603E92" w:rsidP="00603E92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1.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Сипаттама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спецификация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талаптарына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келеді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;</w:t>
            </w:r>
          </w:p>
          <w:p w14:paraId="2A1D22B8" w14:textId="77777777" w:rsidR="00603E92" w:rsidRPr="00603E92" w:rsidRDefault="00603E92" w:rsidP="00603E92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14:paraId="3AC9B706" w14:textId="77777777" w:rsidR="00603E92" w:rsidRPr="00603E92" w:rsidRDefault="00603E92" w:rsidP="00603E92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2.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Қоспалардың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құрамы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спецификация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шегінде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болуы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тиіс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;</w:t>
            </w:r>
          </w:p>
          <w:p w14:paraId="677F3446" w14:textId="77777777" w:rsidR="00603E92" w:rsidRPr="00603E92" w:rsidRDefault="00603E92" w:rsidP="00603E92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14:paraId="16054C21" w14:textId="77777777" w:rsidR="00603E92" w:rsidRPr="00603E92" w:rsidRDefault="00603E92" w:rsidP="00603E92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3.</w:t>
            </w:r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ab/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Белсенді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заттың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сандық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құрамының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айтарлықтай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өзгерістері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байқалмайды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14:paraId="64465AA3" w14:textId="77777777" w:rsidR="00603E92" w:rsidRPr="00603E92" w:rsidRDefault="00603E92" w:rsidP="00603E92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14:paraId="26CABCAC" w14:textId="7A101872" w:rsidR="00A057C5" w:rsidRDefault="00603E92" w:rsidP="00603E92">
            <w:pPr>
              <w:widowControl w:val="0"/>
              <w:spacing w:line="240" w:lineRule="auto"/>
              <w:ind w:left="60" w:right="-16" w:firstLine="673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Препараттың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тұрақтылығын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мәлімделген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сақтау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мерзімін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2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жыл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растайды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  <w:tr w:rsidR="00A057C5" w14:paraId="71B8F8EB" w14:textId="77777777">
        <w:trPr>
          <w:cantSplit/>
          <w:trHeight w:hRule="exact" w:val="13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5D12B" w14:textId="77777777" w:rsidR="00A057C5" w:rsidRDefault="00A057C5">
            <w:pPr>
              <w:spacing w:line="240" w:lineRule="exact"/>
              <w:rPr>
                <w:sz w:val="24"/>
                <w:szCs w:val="24"/>
              </w:rPr>
            </w:pPr>
          </w:p>
          <w:p w14:paraId="7E162A72" w14:textId="77777777" w:rsidR="00A057C5" w:rsidRDefault="00A057C5">
            <w:pPr>
              <w:spacing w:after="69" w:line="240" w:lineRule="exact"/>
              <w:rPr>
                <w:sz w:val="24"/>
                <w:szCs w:val="24"/>
              </w:rPr>
            </w:pPr>
          </w:p>
          <w:p w14:paraId="336750B9" w14:textId="77777777" w:rsidR="00A057C5" w:rsidRDefault="0064350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0A60C" w14:textId="0BB53DC1" w:rsidR="00A057C5" w:rsidRPr="00603E92" w:rsidRDefault="00603E9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Клиникаға дейінгі </w:t>
            </w:r>
            <w:r w:rsidR="0064350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 w:rsidR="0064350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 w:rsidR="0064350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спе</w:t>
            </w:r>
            <w:r w:rsidR="0064350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 w:rsidR="0064350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ECFDC" w14:textId="66D9F9A2" w:rsidR="00A057C5" w:rsidRDefault="00603E92">
            <w:pPr>
              <w:widowControl w:val="0"/>
              <w:tabs>
                <w:tab w:val="left" w:pos="1331"/>
                <w:tab w:val="left" w:pos="2540"/>
                <w:tab w:val="left" w:pos="3005"/>
                <w:tab w:val="left" w:pos="3573"/>
                <w:tab w:val="left" w:pos="4352"/>
                <w:tab w:val="left" w:pos="4773"/>
                <w:tab w:val="left" w:pos="5450"/>
              </w:tabs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Әдеби деректерге библиографиялық шолу жеткілікті көлемде ұсынылған.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Материалдар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әдеби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көздерде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көрсетілген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ақпаратты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көрсетеді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  <w:tr w:rsidR="00A057C5" w14:paraId="4AE07701" w14:textId="77777777" w:rsidTr="00603E92">
        <w:trPr>
          <w:cantSplit/>
          <w:trHeight w:hRule="exact" w:val="205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252F2" w14:textId="77777777" w:rsidR="00A057C5" w:rsidRDefault="00A057C5">
            <w:pPr>
              <w:spacing w:line="240" w:lineRule="exact"/>
              <w:rPr>
                <w:sz w:val="24"/>
                <w:szCs w:val="24"/>
              </w:rPr>
            </w:pPr>
          </w:p>
          <w:p w14:paraId="05A4E642" w14:textId="77777777" w:rsidR="00A057C5" w:rsidRDefault="00A057C5">
            <w:pPr>
              <w:spacing w:line="240" w:lineRule="exact"/>
              <w:rPr>
                <w:sz w:val="24"/>
                <w:szCs w:val="24"/>
              </w:rPr>
            </w:pPr>
          </w:p>
          <w:p w14:paraId="22222B60" w14:textId="77777777" w:rsidR="00A057C5" w:rsidRDefault="00A057C5">
            <w:pPr>
              <w:spacing w:after="17" w:line="160" w:lineRule="exact"/>
              <w:rPr>
                <w:sz w:val="16"/>
                <w:szCs w:val="16"/>
              </w:rPr>
            </w:pPr>
          </w:p>
          <w:p w14:paraId="13E6BA99" w14:textId="77777777" w:rsidR="00A057C5" w:rsidRDefault="0064350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14651" w14:textId="663EAED1" w:rsidR="00A057C5" w:rsidRPr="00603E92" w:rsidRDefault="0064350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 w:rsid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калық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 w:rsid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ілер</w:t>
            </w:r>
            <w:proofErr w:type="gram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356E3" w14:textId="77777777" w:rsidR="00A057C5" w:rsidRPr="00603E92" w:rsidRDefault="00A057C5">
            <w:pPr>
              <w:spacing w:after="14" w:line="200" w:lineRule="exact"/>
              <w:rPr>
                <w:sz w:val="20"/>
                <w:szCs w:val="20"/>
                <w:lang w:val="kk-KZ"/>
              </w:rPr>
            </w:pPr>
          </w:p>
          <w:p w14:paraId="0F69048E" w14:textId="2AA2635C" w:rsidR="00A057C5" w:rsidRDefault="00603E92">
            <w:pPr>
              <w:widowControl w:val="0"/>
              <w:spacing w:line="240" w:lineRule="auto"/>
              <w:ind w:left="60" w:right="5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Әдеби клиникалық зерттеулердің нәтижелеріне библиографиялық шолу 82 беттен тұрады, материалдар 48 әдебиет көздерінің мәліметтеріне негізделген.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Ақпарат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жеткілікті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көлемде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</w:t>
            </w:r>
          </w:p>
        </w:tc>
      </w:tr>
      <w:tr w:rsidR="00A057C5" w14:paraId="3FB535F1" w14:textId="77777777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24848" w14:textId="77777777" w:rsidR="00A057C5" w:rsidRDefault="00A057C5">
            <w:pPr>
              <w:spacing w:after="9" w:line="140" w:lineRule="exact"/>
              <w:rPr>
                <w:sz w:val="14"/>
                <w:szCs w:val="14"/>
              </w:rPr>
            </w:pPr>
          </w:p>
          <w:p w14:paraId="29DBA4F6" w14:textId="77777777" w:rsidR="00A057C5" w:rsidRDefault="0064350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42AAF" w14:textId="06632BEE" w:rsidR="00A057C5" w:rsidRDefault="00603E9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73E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Пайда-қауіпті бағалау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67A0E" w14:textId="7208415C" w:rsidR="00A057C5" w:rsidRDefault="00603E9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Пайда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/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қауіп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арақатынасы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қолайлы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болып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қалады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  <w:tr w:rsidR="00A057C5" w14:paraId="0A4913AE" w14:textId="77777777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323A3" w14:textId="77777777" w:rsidR="00A057C5" w:rsidRDefault="0064350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AE9D3" w14:textId="52978589" w:rsidR="00A057C5" w:rsidRPr="00603E92" w:rsidRDefault="0064350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</w:t>
            </w:r>
            <w:proofErr w:type="spellEnd"/>
            <w:r w:rsidR="00603E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логиялық қадағалау</w:t>
            </w:r>
          </w:p>
        </w:tc>
      </w:tr>
      <w:tr w:rsidR="00A057C5" w14:paraId="4B54DF4D" w14:textId="77777777" w:rsidTr="00603E92">
        <w:trPr>
          <w:cantSplit/>
          <w:trHeight w:hRule="exact" w:val="2223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4AD63" w14:textId="77777777" w:rsidR="00A057C5" w:rsidRDefault="00A057C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C8B20" w14:textId="2B4E3FF9" w:rsidR="00A057C5" w:rsidRDefault="00603E92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Фармакологиялық қадағалау жүйесінің сипаттамасы 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23480" w14:textId="3F9F42DA" w:rsidR="00A057C5" w:rsidRDefault="00603E92">
            <w:pPr>
              <w:widowControl w:val="0"/>
              <w:spacing w:before="3" w:line="240" w:lineRule="auto"/>
              <w:ind w:left="60" w:right="2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Өтініш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берушінің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фармакологиялық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қадағалауын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сипаттау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жүйесі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қолайлы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Қайта өндірілген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репарат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Тәуекелдерді </w:t>
            </w:r>
            <w:r w:rsidRPr="00603E9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басқару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жоспары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талап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етілмейді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</w:t>
            </w:r>
          </w:p>
        </w:tc>
      </w:tr>
      <w:tr w:rsidR="00A057C5" w14:paraId="28CDE086" w14:textId="77777777" w:rsidTr="00603E92">
        <w:trPr>
          <w:cantSplit/>
          <w:trHeight w:hRule="exact" w:val="71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76DC8" w14:textId="77777777" w:rsidR="00A057C5" w:rsidRDefault="00A057C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B5F35" w14:textId="1226D75E" w:rsidR="00A057C5" w:rsidRDefault="00603E9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Клиникаға дейінгі аспектілер </w:t>
            </w:r>
            <w:r w:rsidR="0064350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04E05" w14:textId="77777777" w:rsidR="00A057C5" w:rsidRDefault="00A057C5"/>
        </w:tc>
      </w:tr>
      <w:tr w:rsidR="00A057C5" w14:paraId="39CAB232" w14:textId="77777777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B2BD3" w14:textId="77777777" w:rsidR="00A057C5" w:rsidRDefault="00A057C5">
            <w:pPr>
              <w:spacing w:after="9" w:line="140" w:lineRule="exact"/>
              <w:rPr>
                <w:sz w:val="14"/>
                <w:szCs w:val="14"/>
              </w:rPr>
            </w:pPr>
          </w:p>
          <w:p w14:paraId="7C3D31DD" w14:textId="77777777" w:rsidR="00A057C5" w:rsidRDefault="0064350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EE0FF" w14:textId="285D13F3" w:rsidR="00A057C5" w:rsidRPr="00603E92" w:rsidRDefault="00603E9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Босату шарттары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A7E44" w14:textId="44A3211B" w:rsidR="00A057C5" w:rsidRDefault="00603E9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Дәрігердің рецептісі бойынша</w:t>
            </w:r>
            <w:r w:rsidR="006435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14:paraId="30230A8C" w14:textId="77777777" w:rsidR="00A057C5" w:rsidRDefault="0064350A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 wp14:anchorId="4B3BC4BC" wp14:editId="4EF74094">
                <wp:simplePos x="0" y="0"/>
                <wp:positionH relativeFrom="page">
                  <wp:posOffset>2911475</wp:posOffset>
                </wp:positionH>
                <wp:positionV relativeFrom="page">
                  <wp:posOffset>10005695</wp:posOffset>
                </wp:positionV>
                <wp:extent cx="4572000" cy="64770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62B4DE4F" w14:textId="77777777" w:rsidR="00A057C5" w:rsidRPr="0064350A" w:rsidRDefault="0064350A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64350A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Created by the trial version of PDF Focus .Net 6.9.7.6!</w:t>
                            </w:r>
                          </w:p>
                          <w:p w14:paraId="4FC17542" w14:textId="77777777" w:rsidR="00A057C5" w:rsidRPr="0064350A" w:rsidRDefault="0064350A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64350A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trial version sometimes inserts "trial" into random places.</w:t>
                            </w:r>
                          </w:p>
                          <w:p w14:paraId="4BBC48C8" w14:textId="77777777" w:rsidR="00A057C5" w:rsidRPr="0064350A" w:rsidRDefault="005162D3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hyperlink r:id="rId4">
                              <w:r w:rsidR="0064350A" w:rsidRPr="0064350A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Get the full version of PDF Focus .Net.</w:t>
                              </w:r>
                            </w:hyperlink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B3BC4BC" id="drawingObject2" o:spid="_x0000_s1027" type="#_x0000_t202" style="position:absolute;margin-left:229.25pt;margin-top:787.85pt;width:5in;height:51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" o:allowincell="f" stroked="f">
                <v:textbox>
                  <w:txbxContent>
                    <w:p w14:paraId="62B4DE4F" w14:textId="77777777" w:rsidR="00A057C5" w:rsidRPr="0064350A" w:rsidRDefault="0064350A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64350A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Created by the trial version of PDF Focus .Net 6.9.7.6!</w:t>
                      </w:r>
                    </w:p>
                    <w:p w14:paraId="4FC17542" w14:textId="77777777" w:rsidR="00A057C5" w:rsidRPr="0064350A" w:rsidRDefault="0064350A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64350A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The trial version sometimes inserts "trial" into random places.</w:t>
                      </w:r>
                    </w:p>
                    <w:p w14:paraId="4BBC48C8" w14:textId="77777777" w:rsidR="00A057C5" w:rsidRPr="0064350A" w:rsidRDefault="005162D3">
                      <w:pPr>
                        <w:spacing w:line="240" w:lineRule="auto"/>
                        <w:rPr>
                          <w:lang w:val="en-US"/>
                        </w:rPr>
                      </w:pPr>
                      <w:hyperlink r:id="rId5">
                        <w:r w:rsidR="0064350A" w:rsidRPr="0064350A">
                          <w:rPr>
                            <w:color w:val="0000FF"/>
                            <w:sz w:val="24"/>
                            <w:szCs w:val="24"/>
                            <w:u w:val="single"/>
                            <w:lang w:val="en-US"/>
                          </w:rPr>
                          <w:t>Get the full version of PDF Focus .Net.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057C5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C5"/>
    <w:rsid w:val="00026FF6"/>
    <w:rsid w:val="00271B0E"/>
    <w:rsid w:val="003274DB"/>
    <w:rsid w:val="005162D3"/>
    <w:rsid w:val="00603E92"/>
    <w:rsid w:val="0064350A"/>
    <w:rsid w:val="00963CB7"/>
    <w:rsid w:val="00A057C5"/>
    <w:rsid w:val="00B21A01"/>
    <w:rsid w:val="00D71018"/>
    <w:rsid w:val="00EC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9266"/>
  <w15:docId w15:val="{C4E17864-210B-4688-8DD0-4F885CFC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autinsoft.com/products/pdf-focus/order.php" TargetMode="External"/><Relationship Id="rId4" Type="http://schemas.openxmlformats.org/officeDocument/2006/relationships/hyperlink" Target="https://www.sautinsoft.com/products/pdf-focus/order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Saule B. Shakirova</cp:lastModifiedBy>
  <cp:revision>2</cp:revision>
  <dcterms:created xsi:type="dcterms:W3CDTF">2020-09-08T10:59:00Z</dcterms:created>
  <dcterms:modified xsi:type="dcterms:W3CDTF">2020-09-08T10:59:00Z</dcterms:modified>
</cp:coreProperties>
</file>