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A0" w:rsidRPr="003E1865" w:rsidRDefault="008728A0" w:rsidP="003E1865">
      <w:pPr>
        <w:widowControl w:val="0"/>
        <w:spacing w:line="240" w:lineRule="auto"/>
        <w:ind w:left="-68" w:right="8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8728A0" w:rsidRPr="003E1865" w:rsidRDefault="008728A0" w:rsidP="003E1865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8A0" w:rsidRPr="003E1865" w:rsidRDefault="008728A0" w:rsidP="003E1865">
      <w:pPr>
        <w:spacing w:after="1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8A0" w:rsidRPr="003E1865" w:rsidRDefault="008728A0" w:rsidP="003E1865">
      <w:pPr>
        <w:jc w:val="both"/>
        <w:rPr>
          <w:rFonts w:ascii="Times New Roman" w:hAnsi="Times New Roman" w:cs="Times New Roman"/>
          <w:sz w:val="28"/>
          <w:szCs w:val="28"/>
        </w:rPr>
        <w:sectPr w:rsidR="008728A0" w:rsidRPr="003E186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C93D99" w:rsidRPr="003E1865" w:rsidRDefault="008728A0" w:rsidP="003E1865">
      <w:pPr>
        <w:widowControl w:val="0"/>
        <w:spacing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8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E18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3E18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8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5C6BE4" w:rsidRPr="003E1865">
        <w:rPr>
          <w:rFonts w:ascii="Times New Roman" w:hAnsi="Times New Roman" w:cs="Times New Roman"/>
          <w:sz w:val="28"/>
          <w:szCs w:val="28"/>
        </w:rPr>
        <w:br w:type="column"/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C6BE4"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C6BE4" w:rsidRPr="003E18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C6BE4" w:rsidRPr="003E18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6BE4" w:rsidRPr="003E18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="005C6BE4" w:rsidRPr="003E18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5C6BE4" w:rsidRPr="003E18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="005C6BE4" w:rsidRPr="003E186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93D99" w:rsidRPr="003E1865" w:rsidRDefault="00C93D99" w:rsidP="003E1865">
      <w:pPr>
        <w:jc w:val="both"/>
        <w:rPr>
          <w:rFonts w:ascii="Times New Roman" w:hAnsi="Times New Roman" w:cs="Times New Roman"/>
          <w:sz w:val="28"/>
          <w:szCs w:val="28"/>
        </w:rPr>
        <w:sectPr w:rsidR="00C93D99" w:rsidRPr="003E186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C93D99" w:rsidRPr="003E1865" w:rsidRDefault="00C93D99" w:rsidP="003E1865">
      <w:pPr>
        <w:spacing w:after="16" w:line="1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28A0" w:rsidRPr="003E1865" w:rsidRDefault="008728A0" w:rsidP="003E1865">
      <w:pPr>
        <w:widowControl w:val="0"/>
        <w:spacing w:line="240" w:lineRule="auto"/>
        <w:ind w:left="3964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3E1865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C93D99" w:rsidRPr="003E1865" w:rsidRDefault="00C93D99" w:rsidP="003E1865">
      <w:pPr>
        <w:spacing w:line="2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C93D99" w:rsidP="003E1865">
      <w:pPr>
        <w:spacing w:line="2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C93D99" w:rsidP="003E1865">
      <w:pPr>
        <w:spacing w:line="2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C93D99" w:rsidP="003E1865">
      <w:pPr>
        <w:spacing w:line="2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C93D99" w:rsidP="003E1865">
      <w:pPr>
        <w:spacing w:line="2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C93D99" w:rsidP="003E1865">
      <w:pPr>
        <w:spacing w:line="2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C93D99" w:rsidP="003E1865">
      <w:pPr>
        <w:spacing w:after="7" w:line="12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5C6BE4" w:rsidP="003E1865">
      <w:pPr>
        <w:widowControl w:val="0"/>
        <w:spacing w:line="240" w:lineRule="auto"/>
        <w:ind w:left="1962" w:right="-20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3E18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08" behindDoc="1" locked="0" layoutInCell="0" allowOverlap="1" wp14:anchorId="74E6D4EA" wp14:editId="5683070C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C93D99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93D99" w:rsidRPr="001C2E73" w:rsidRDefault="005811C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93D99" w:rsidRPr="001C2E73" w:rsidRDefault="00C93D99">
                                  <w:pPr>
                                    <w:spacing w:after="9" w:line="14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93D99" w:rsidRPr="001C2E73" w:rsidRDefault="005C6BE4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ви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</w:p>
                              </w:tc>
                            </w:tr>
                            <w:tr w:rsidR="00C93D9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93D99" w:rsidRPr="001C2E73" w:rsidRDefault="005811C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93D99" w:rsidRPr="001C2E73" w:rsidRDefault="005C6BE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йла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proofErr w:type="spellEnd"/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аборато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proofErr w:type="spellEnd"/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имите</w:t>
                                  </w: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C93D9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93D99" w:rsidRPr="001C2E73" w:rsidRDefault="005811C1" w:rsidP="005811C1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93D99" w:rsidRPr="001C2E73" w:rsidRDefault="005811C1" w:rsidP="005811C1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1C2E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:rsidR="00553964" w:rsidRDefault="0055396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C93D99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93D99" w:rsidRPr="001C2E73" w:rsidRDefault="005811C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93D99" w:rsidRPr="001C2E73" w:rsidRDefault="00C93D99">
                            <w:pPr>
                              <w:spacing w:after="9" w:line="1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3D99" w:rsidRPr="001C2E73" w:rsidRDefault="005C6BE4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Л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д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ви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</w:tc>
                      </w:tr>
                      <w:tr w:rsidR="00C93D9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93D99" w:rsidRPr="001C2E73" w:rsidRDefault="005811C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93D99" w:rsidRPr="001C2E73" w:rsidRDefault="005C6BE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йла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proofErr w:type="spellEnd"/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Л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аборато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proofErr w:type="spellEnd"/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Л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имите</w:t>
                            </w: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c>
                      </w:tr>
                      <w:tr w:rsidR="00C93D9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93D99" w:rsidRPr="001C2E73" w:rsidRDefault="005811C1" w:rsidP="005811C1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93D99" w:rsidRPr="001C2E73" w:rsidRDefault="005811C1" w:rsidP="005811C1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C2E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:rsidR="00553964" w:rsidRDefault="00553964"/>
                  </w:txbxContent>
                </v:textbox>
                <w10:wrap anchorx="page"/>
              </v:shape>
            </w:pict>
          </mc:Fallback>
        </mc:AlternateContent>
      </w:r>
      <w:r w:rsidR="005811C1" w:rsidRPr="003E1865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5811C1" w:rsidRPr="003E186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C93D99" w:rsidRPr="003E1865" w:rsidRDefault="00C93D99" w:rsidP="003E1865">
      <w:pPr>
        <w:spacing w:after="2" w:line="1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93D99" w:rsidRPr="003E1865" w:rsidRDefault="005C6BE4" w:rsidP="003E1865">
      <w:pPr>
        <w:widowControl w:val="0"/>
        <w:spacing w:line="240" w:lineRule="auto"/>
        <w:ind w:left="2567" w:right="-20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3E1865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3E186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3E186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811C1" w:rsidRPr="003E186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C93D99" w:rsidRPr="003E1865" w:rsidRDefault="00C93D99" w:rsidP="003E1865">
      <w:pPr>
        <w:spacing w:after="5" w:line="140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C93D99" w:rsidRPr="003E186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C6BE4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811C1" w:rsidP="003E1865">
            <w:pPr>
              <w:widowControl w:val="0"/>
              <w:spacing w:before="3" w:line="240" w:lineRule="auto"/>
              <w:ind w:left="60" w:right="2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C93D99" w:rsidRPr="003E1865" w:rsidRDefault="00C93D99" w:rsidP="003E1865">
      <w:pPr>
        <w:spacing w:after="3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D99" w:rsidRPr="003E1865" w:rsidRDefault="005C6BE4" w:rsidP="003E1865">
      <w:pPr>
        <w:widowControl w:val="0"/>
        <w:spacing w:line="240" w:lineRule="auto"/>
        <w:ind w:left="3546" w:right="-20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3E1865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3E186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3E186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811C1" w:rsidRPr="003E1865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C93D99" w:rsidRPr="003E1865" w:rsidRDefault="00C93D99" w:rsidP="003E1865">
      <w:pPr>
        <w:spacing w:line="32" w:lineRule="exact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C93D99" w:rsidRPr="003E186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C6BE4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811C1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C93D99" w:rsidRPr="003E1865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after="4"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5C6BE4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trial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811C1" w:rsidP="003E1865">
            <w:pPr>
              <w:widowControl w:val="0"/>
              <w:spacing w:before="3" w:line="240" w:lineRule="auto"/>
              <w:ind w:left="60" w:right="-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1C1" w:rsidRPr="003E1865" w:rsidRDefault="005811C1" w:rsidP="003E1865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229"/>
                <w:tab w:val="left" w:pos="3664"/>
                <w:tab w:val="left" w:pos="3938"/>
                <w:tab w:val="left" w:pos="4198"/>
                <w:tab w:val="left" w:pos="5044"/>
                <w:tab w:val="left" w:pos="537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фосбувир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Ледипасвир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қоспасы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ылады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ледипасвирге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баламалы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физикалық-химиялық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ізді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11C1" w:rsidRPr="003E1865" w:rsidRDefault="005811C1" w:rsidP="003E1865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229"/>
                <w:tab w:val="left" w:pos="3664"/>
                <w:tab w:val="left" w:pos="3938"/>
                <w:tab w:val="left" w:pos="4198"/>
                <w:tab w:val="left" w:pos="5044"/>
                <w:tab w:val="left" w:pos="537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3D99" w:rsidRPr="003E1865" w:rsidRDefault="005811C1" w:rsidP="003E1865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93D99" w:rsidRPr="003E1865" w:rsidRDefault="00C93D99" w:rsidP="003E1865">
      <w:pPr>
        <w:jc w:val="both"/>
        <w:rPr>
          <w:rFonts w:ascii="Times New Roman" w:hAnsi="Times New Roman" w:cs="Times New Roman"/>
          <w:sz w:val="28"/>
          <w:szCs w:val="28"/>
        </w:rPr>
        <w:sectPr w:rsidR="00C93D99" w:rsidRPr="003E186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C93D99" w:rsidRPr="003E1865">
        <w:trPr>
          <w:cantSplit/>
          <w:trHeight w:hRule="exact" w:val="73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after="5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5C6BE4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811C1" w:rsidP="003E1865">
            <w:pPr>
              <w:widowControl w:val="0"/>
              <w:spacing w:before="3" w:line="240" w:lineRule="auto"/>
              <w:ind w:left="60" w:right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1C1" w:rsidRPr="003E1865" w:rsidRDefault="005811C1" w:rsidP="003E1865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өндіру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сападағы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эксципиенттер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11C1" w:rsidRPr="003E1865" w:rsidRDefault="005811C1" w:rsidP="003E1865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3D99" w:rsidRPr="003E1865" w:rsidRDefault="005811C1" w:rsidP="003E1865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олдану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тификаттарымен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(Ф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АҚШ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компоненттердің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(Ф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АҚШ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компоненттердің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93D99" w:rsidRPr="003E186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C6BE4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03232C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5C6BE4"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C6BE4"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5C6BE4"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5C6BE4"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5C6BE4"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C93D99" w:rsidRPr="003E1865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03232C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03232C" w:rsidP="003E1865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ерекшелігінің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.</w:t>
            </w:r>
          </w:p>
        </w:tc>
      </w:tr>
      <w:tr w:rsidR="00C93D99" w:rsidRPr="003E1865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03232C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32C" w:rsidRPr="003E1865" w:rsidRDefault="0003232C" w:rsidP="003E186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9.5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ІС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Һ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 А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басшылығының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03232C" w:rsidRPr="003E1865" w:rsidRDefault="0003232C" w:rsidP="003E186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03232C" w:rsidRPr="003E1865" w:rsidRDefault="0003232C" w:rsidP="003E186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03232C" w:rsidRPr="003E1865" w:rsidRDefault="0003232C" w:rsidP="003E186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93D99" w:rsidRPr="003E1865" w:rsidRDefault="0003232C" w:rsidP="003E1865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ізді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</w:tbl>
    <w:p w:rsidR="00C93D99" w:rsidRPr="003E1865" w:rsidRDefault="00C93D99" w:rsidP="003E1865">
      <w:pPr>
        <w:jc w:val="both"/>
        <w:rPr>
          <w:rFonts w:ascii="Times New Roman" w:hAnsi="Times New Roman" w:cs="Times New Roman"/>
          <w:sz w:val="28"/>
          <w:szCs w:val="28"/>
        </w:rPr>
        <w:sectPr w:rsidR="00C93D99" w:rsidRPr="003E186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C93D99" w:rsidRPr="003E1865" w:rsidTr="00A8021E">
        <w:trPr>
          <w:cantSplit/>
          <w:trHeight w:hRule="exact" w:val="525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03232C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іншілік қаптама мәлімделген деректерге сәйкес келеді.  </w:t>
            </w: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імді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препарат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сыни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көрсеткіштерінің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; </w:t>
            </w: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Қоспалардың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шегінде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болады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; </w:t>
            </w: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Әсер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етуші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сандық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A8021E" w:rsidRPr="003E1865" w:rsidRDefault="00A8021E" w:rsidP="003E186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C93D99" w:rsidRPr="003E1865" w:rsidRDefault="00A8021E" w:rsidP="003E1865">
            <w:pPr>
              <w:widowControl w:val="0"/>
              <w:spacing w:line="240" w:lineRule="auto"/>
              <w:ind w:left="60" w:right="-16" w:firstLine="6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тұрақтылығын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мәлімделген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мерзімін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C93D99" w:rsidRPr="003E1865">
        <w:trPr>
          <w:cantSplit/>
          <w:trHeight w:hRule="exact" w:val="8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spacing w:after="43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5C6BE4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A8021E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A8021E" w:rsidP="003E1865">
            <w:pPr>
              <w:widowControl w:val="0"/>
              <w:spacing w:before="3" w:line="240" w:lineRule="auto"/>
              <w:ind w:left="60"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Клиникаға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дейінгі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зерттеулер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шолу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мақалалар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тү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C93D99" w:rsidRPr="003E1865">
        <w:trPr>
          <w:cantSplit/>
          <w:trHeight w:hRule="exact" w:val="100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C93D99" w:rsidP="003E1865">
            <w:pPr>
              <w:spacing w:after="97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5C6BE4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A8021E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021E" w:rsidRPr="003E1865" w:rsidRDefault="00A8021E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Балалар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мен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жасөспі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імдер</w:t>
            </w:r>
            <w:proofErr w:type="spellEnd"/>
          </w:p>
          <w:p w:rsidR="00A8021E" w:rsidRPr="003E1865" w:rsidRDefault="00A8021E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C93D99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Делвир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препараты 12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жасқа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дейінгі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балалар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мен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жасөспі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імдерде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қолдануға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ұсынылмайды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себебі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бұл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топта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қауіпсіздік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пен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тиімділікті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бағалау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жүргізілмеген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.</w:t>
            </w: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kk-KZ"/>
              </w:rPr>
            </w:pPr>
          </w:p>
          <w:p w:rsidR="00C93D99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kk-KZ"/>
              </w:rPr>
              <w:t xml:space="preserve">Қосалқы заттар </w:t>
            </w: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</w:p>
          <w:p w:rsidR="00C93D99" w:rsidRPr="003E1865" w:rsidRDefault="00C93D99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93D99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Лидевин препараты аллергиялық реакцияларды тудыруы мүмкін FCF (E110) күн батуы қызғылт сары тағамдық бояғыш бар . Ол сондай-ақ лактозаны қамтиды. Демек, сирек тұқым қуалайтын галактозаның көтере алмайтындығы, туа біткен лактазаның жеткіліксіздігі немесе глюкозаның сіңу процесінің бұзылуы бар емделушілерге ?галактоздар бұл дәрілік препаратты тағайындауға болмайды.</w:t>
            </w:r>
          </w:p>
          <w:p w:rsidR="00A8021E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Фертильділік, жүктілік және лактация кезеңі </w:t>
            </w: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:rsidR="00C93D99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Бала көтеретін </w:t>
            </w: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жастағы әйелдер / ерлер мен әйелдерде контрацепция</w:t>
            </w:r>
          </w:p>
          <w:p w:rsidR="00A8021E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93D99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Егер Лидевин препараты рибавиринмен біріктіріп пайдаланылса, пациенттер-әйелдерде және ер пациенттердің серіктестері болып табылатын әйелдерде жүктілікті болдырмау мақсатында ерекше сақ болу керек. Рибавирин енгізген жануарларға зерттеу айтарлықтай тератогенді және/немесе эмбриоцидті әсерді көрсетті. Бала көтеретін  жастағы әйелдер немесе олардың серіктестері-ерлер емдеу кезінде және емдеу аяқталғаннан кейін белгілі бір кезең ішінде контрацепцияның тиімді тәсілдерін пайдалануы тиіс. Тиісті ұсыныстар мен қосымша ақпарат рибавиринді қолдану жөніндегі нұсқаулықта қамтылған.</w:t>
            </w:r>
          </w:p>
          <w:p w:rsidR="00C93D99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val="kk-KZ"/>
              </w:rPr>
              <w:t xml:space="preserve">Жүктілік </w:t>
            </w:r>
          </w:p>
        </w:tc>
      </w:tr>
    </w:tbl>
    <w:p w:rsidR="00C93D99" w:rsidRPr="003E1865" w:rsidRDefault="00C93D99" w:rsidP="003E1865">
      <w:pPr>
        <w:jc w:val="both"/>
        <w:rPr>
          <w:rFonts w:ascii="Times New Roman" w:hAnsi="Times New Roman" w:cs="Times New Roman"/>
          <w:sz w:val="28"/>
          <w:szCs w:val="28"/>
        </w:rPr>
        <w:sectPr w:rsidR="00C93D99" w:rsidRPr="003E1865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C93D99" w:rsidRPr="003E1865" w:rsidTr="00794ED3">
        <w:trPr>
          <w:cantSplit/>
          <w:trHeight w:hRule="exact" w:val="11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021E" w:rsidRPr="003E1865" w:rsidRDefault="00A8021E" w:rsidP="003E1865">
            <w:pPr>
              <w:widowControl w:val="0"/>
              <w:tabs>
                <w:tab w:val="left" w:pos="1196"/>
                <w:tab w:val="left" w:pos="1607"/>
                <w:tab w:val="left" w:pos="3142"/>
                <w:tab w:val="left" w:pos="4262"/>
                <w:tab w:val="left" w:pos="5830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үкті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әйелдерде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ледипасвирдің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софосбувирдің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немесе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Левитрдің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қолданылғаны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туралы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деректер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жоқ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немесе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шектелген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жүктіліктің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300-ден кем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нәтижесі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).</w:t>
            </w:r>
          </w:p>
          <w:p w:rsidR="00A8021E" w:rsidRPr="003E1865" w:rsidRDefault="00A8021E" w:rsidP="003E1865">
            <w:pPr>
              <w:widowControl w:val="0"/>
              <w:tabs>
                <w:tab w:val="left" w:pos="1196"/>
                <w:tab w:val="left" w:pos="1607"/>
                <w:tab w:val="left" w:pos="3142"/>
                <w:tab w:val="left" w:pos="4262"/>
                <w:tab w:val="left" w:pos="5830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A8021E" w:rsidRPr="003E1865" w:rsidRDefault="00A8021E" w:rsidP="003E1865">
            <w:pPr>
              <w:widowControl w:val="0"/>
              <w:tabs>
                <w:tab w:val="left" w:pos="1196"/>
                <w:tab w:val="left" w:pos="1607"/>
                <w:tab w:val="left" w:pos="3142"/>
                <w:tab w:val="left" w:pos="4262"/>
                <w:tab w:val="left" w:pos="5830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Жануарларға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зерттеулер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репродуктивті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функцияға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тікелей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зиянды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уытты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әсер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еткен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жоқ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Егеуқұйрықтар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қояндарда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ледипасвирді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немесе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софосбувирді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енгізу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кезінде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алынған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деректер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ұрықтың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дамуына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елеулі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әсер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етпейтіні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proofErr w:type="spellEnd"/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көрсетеді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Дегенмен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егеуқұйрықтардағы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софосбувирдің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экспозиция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шегін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дозада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адамға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әсер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етуіне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қатысты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толық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A8021E" w:rsidRPr="003E1865" w:rsidRDefault="00A8021E" w:rsidP="003E1865">
            <w:pPr>
              <w:widowControl w:val="0"/>
              <w:tabs>
                <w:tab w:val="left" w:pos="1196"/>
                <w:tab w:val="left" w:pos="1607"/>
                <w:tab w:val="left" w:pos="3142"/>
                <w:tab w:val="left" w:pos="4262"/>
                <w:tab w:val="left" w:pos="5830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93D99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шарасы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ретінде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жүктілік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кезінде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Лидевин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епаратын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нбағ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ан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</w:p>
          <w:p w:rsidR="00C93D99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Емшек сүтімен қоректендіру </w:t>
            </w:r>
          </w:p>
          <w:p w:rsidR="00C93D99" w:rsidRPr="003E1865" w:rsidRDefault="00C93D99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Ледипасвирдің немесе софосбувирдің және оның метаболиттерінің емшек сүтіне бөлінуі туралы деректер жоқ.</w:t>
            </w: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</w:pP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Жануарлардағы зерттеулердің фармакокинетикалық деректері ледипасвир мен софосбувирдің метаболиттері ем</w:t>
            </w:r>
            <w:r w:rsid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шек сүтіне бөлінетінін көрсетті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.</w:t>
            </w:r>
          </w:p>
          <w:p w:rsidR="00A8021E" w:rsidRPr="003E1865" w:rsidRDefault="00A8021E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</w:pPr>
          </w:p>
          <w:p w:rsidR="00C93D99" w:rsidRPr="003E1865" w:rsidRDefault="00A8021E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 Жаңа туған нәрестелер мен нәрестелер үшін қауіп</w:t>
            </w:r>
            <w:r w:rsidR="00794ED3"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ті  болдырмау мүмкін емес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. Осы</w:t>
            </w:r>
            <w:r w:rsidR="00794ED3"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лайша, Ледвир препаратын емшек сүтімен қоректендіру  кезінде қолдануға болмайды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.</w:t>
            </w:r>
          </w:p>
          <w:p w:rsidR="00794ED3" w:rsidRPr="003E1865" w:rsidRDefault="00794ED3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93D99" w:rsidRPr="003E1865" w:rsidRDefault="005C6BE4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val="kk-KZ"/>
              </w:rPr>
              <w:t>Ферт</w:t>
            </w: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и</w:t>
            </w:r>
            <w:r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val="kk-KZ"/>
              </w:rPr>
              <w:t>л</w:t>
            </w:r>
            <w:r w:rsidR="00794ED3" w:rsidRPr="003E1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ділік </w:t>
            </w:r>
          </w:p>
          <w:p w:rsidR="00C93D99" w:rsidRPr="003E1865" w:rsidRDefault="00C93D99" w:rsidP="003E1865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94ED3" w:rsidRPr="003E1865" w:rsidRDefault="00794ED3" w:rsidP="003E1865">
            <w:pPr>
              <w:widowControl w:val="0"/>
              <w:tabs>
                <w:tab w:val="left" w:pos="1311"/>
                <w:tab w:val="left" w:pos="2947"/>
                <w:tab w:val="left" w:pos="4163"/>
                <w:tab w:val="left" w:pos="5831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Ледвир препаратының фертильділікке әсері туралы деректер жоқ. Жануарларға жүргізілген зерттеулер ледипасвирдің немесе софосбувирдің репро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дуктивті функцияға теріс әсері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анықталмады.</w:t>
            </w:r>
          </w:p>
          <w:p w:rsidR="00794ED3" w:rsidRPr="003E1865" w:rsidRDefault="00794ED3" w:rsidP="003E1865">
            <w:pPr>
              <w:widowControl w:val="0"/>
              <w:tabs>
                <w:tab w:val="left" w:pos="1311"/>
                <w:tab w:val="left" w:pos="2947"/>
                <w:tab w:val="left" w:pos="4163"/>
                <w:tab w:val="left" w:pos="5831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C93D99" w:rsidRPr="003E1865" w:rsidRDefault="00794ED3" w:rsidP="003E1865">
            <w:pPr>
              <w:widowControl w:val="0"/>
              <w:tabs>
                <w:tab w:val="left" w:pos="1654"/>
                <w:tab w:val="left" w:pos="3085"/>
                <w:tab w:val="left" w:pos="3575"/>
                <w:tab w:val="left" w:pos="4422"/>
                <w:tab w:val="left" w:pos="6075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Егер Рибавирин Ледвирмен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бірге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енгізілсе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, жүктілік кезінде рибавиринді қолдануға және емшекпен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сүтімен қоректендірумен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байланысты қарсы көрсетілімдерге назар аудару керек (сондай-ақ рибавиринді медициналық қолдану жөніндегі нұсқаулықты қараңыз ).</w:t>
            </w:r>
          </w:p>
        </w:tc>
      </w:tr>
      <w:tr w:rsidR="00C93D99" w:rsidRPr="003E186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C6BE4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5C6BE4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="00794ED3"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логиялық қадағалау </w:t>
            </w:r>
          </w:p>
        </w:tc>
      </w:tr>
    </w:tbl>
    <w:p w:rsidR="00C93D99" w:rsidRPr="003E1865" w:rsidRDefault="00C93D99" w:rsidP="003E1865">
      <w:pPr>
        <w:jc w:val="both"/>
        <w:rPr>
          <w:rFonts w:ascii="Times New Roman" w:hAnsi="Times New Roman" w:cs="Times New Roman"/>
          <w:sz w:val="28"/>
          <w:szCs w:val="28"/>
        </w:rPr>
        <w:sectPr w:rsidR="00C93D99" w:rsidRPr="003E186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C93D99" w:rsidRPr="003E1865" w:rsidTr="00794ED3">
        <w:trPr>
          <w:cantSplit/>
          <w:trHeight w:hRule="exact" w:val="9366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ED3" w:rsidRPr="003E1865" w:rsidRDefault="00794ED3" w:rsidP="003E18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794ED3" w:rsidRPr="003E1865" w:rsidRDefault="00794ED3" w:rsidP="003E18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C93D99" w:rsidRPr="003E1865" w:rsidRDefault="00C93D99" w:rsidP="003E1865">
            <w:pPr>
              <w:widowControl w:val="0"/>
              <w:spacing w:before="3" w:line="240" w:lineRule="auto"/>
              <w:ind w:left="60" w:right="9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spacing w:after="14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MYLAN Laboratories Limited,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Үндістан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,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маркетинг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рұқсаты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бар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.</w:t>
            </w:r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Қазақстанда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өні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proofErr w:type="spellEnd"/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үшін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ДРУ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дұрыс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жұмыс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істеуіне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кепілдік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береді</w:t>
            </w:r>
            <w:proofErr w:type="spellEnd"/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індеттер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мен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міндеттемелерді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орындау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үшін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қажетті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ресурстарының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бар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екенін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растайды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.</w:t>
            </w:r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Қазақстандағы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жергілікті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заңнамаға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жүйесіне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сәйкес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Қазақстанда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дә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ілік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заттардың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қауіпсіздігін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тіркеуден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кейінгі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бақылау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бойынша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міндеттер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мен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міндеттерді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орындау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.</w:t>
            </w:r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MYLAN Laboratories Limited,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Үндістан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Mylan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компаниялар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тобының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мүшесі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және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барлы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қ іс-шара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жүйесі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шеңберінде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MYLAN (PSMF)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жүйесінің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негізгі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файлында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сипатталған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. PSMF-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та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сипатталған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жүйе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шыққан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еліне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қарамастан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барлық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Mylan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Group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филиалдарына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қолданылады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.</w:t>
            </w:r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Компанияның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бө</w:t>
            </w:r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л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імі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төменде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көрсетілген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мекенжайда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орналасқан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:</w:t>
            </w:r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Майлан</w:t>
            </w:r>
            <w:proofErr w:type="spellEnd"/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4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-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ғимарат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Трайдент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Плэйс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, Mosquito Way, Hatfield, AL10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sul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Біріккен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Корольдігі</w:t>
            </w:r>
            <w:proofErr w:type="spellEnd"/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Psmf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нөмірі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:</w:t>
            </w:r>
          </w:p>
          <w:p w:rsidR="00794ED3" w:rsidRPr="003E1865" w:rsidRDefault="00794ED3" w:rsidP="003E1865">
            <w:pPr>
              <w:widowControl w:val="0"/>
              <w:spacing w:line="240" w:lineRule="auto"/>
              <w:ind w:left="60" w:right="93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</w:pP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EudraVigilance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коды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: MFL867.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Psmf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орналасуы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Майлан</w:t>
            </w:r>
            <w:proofErr w:type="spellEnd"/>
          </w:p>
          <w:p w:rsidR="00C93D99" w:rsidRPr="003E1865" w:rsidRDefault="00794ED3" w:rsidP="003E1865">
            <w:pPr>
              <w:widowControl w:val="0"/>
              <w:spacing w:line="240" w:lineRule="auto"/>
              <w:ind w:left="60" w:right="26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4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-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ғимарат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Трайдент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Плэйс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, Mosquito Way, Hatfield, AL10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sul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Біріккен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Корольдігі</w:t>
            </w:r>
            <w:proofErr w:type="spellEnd"/>
          </w:p>
        </w:tc>
      </w:tr>
      <w:tr w:rsidR="00C93D99" w:rsidRPr="003E1865" w:rsidTr="00794ED3">
        <w:trPr>
          <w:cantSplit/>
          <w:trHeight w:hRule="exact" w:val="99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794ED3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3E186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E186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D99" w:rsidRPr="003E186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C93D99" w:rsidP="003E1865">
            <w:pPr>
              <w:spacing w:after="9" w:line="1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99" w:rsidRPr="003E1865" w:rsidRDefault="005C6BE4" w:rsidP="003E1865">
            <w:pPr>
              <w:widowControl w:val="0"/>
              <w:spacing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794ED3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D99" w:rsidRPr="003E1865" w:rsidRDefault="00794ED3" w:rsidP="003E1865">
            <w:pPr>
              <w:widowControl w:val="0"/>
              <w:spacing w:before="3" w:line="240" w:lineRule="auto"/>
              <w:ind w:left="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6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Рецепт бойынша</w:t>
            </w:r>
            <w:r w:rsidR="005C6BE4" w:rsidRPr="003E1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93D99" w:rsidRPr="003E1865" w:rsidRDefault="005C6BE4" w:rsidP="003E1865">
      <w:pPr>
        <w:jc w:val="both"/>
        <w:rPr>
          <w:rFonts w:ascii="Times New Roman" w:hAnsi="Times New Roman" w:cs="Times New Roman"/>
          <w:sz w:val="28"/>
          <w:szCs w:val="28"/>
        </w:rPr>
      </w:pPr>
      <w:r w:rsidRPr="003E18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7BB242E1" wp14:editId="00BCA4AF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93D99" w:rsidRPr="005C6BE4" w:rsidRDefault="005C6BE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5C6BE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C93D99" w:rsidRPr="005C6BE4" w:rsidRDefault="005C6BE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5C6BE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C93D99" w:rsidRPr="005C6BE4" w:rsidRDefault="001C2E7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5C6BE4" w:rsidRPr="005C6BE4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left:0;text-align:left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C93D99" w:rsidRPr="005C6BE4" w:rsidRDefault="005C6BE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5C6BE4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C93D99" w:rsidRPr="005C6BE4" w:rsidRDefault="005C6BE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5C6BE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C93D99" w:rsidRPr="005C6BE4" w:rsidRDefault="001C2E73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5C6BE4" w:rsidRPr="005C6BE4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93D99" w:rsidRPr="003E186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99"/>
    <w:rsid w:val="0003232C"/>
    <w:rsid w:val="001C2E73"/>
    <w:rsid w:val="003E1865"/>
    <w:rsid w:val="00553964"/>
    <w:rsid w:val="005811C1"/>
    <w:rsid w:val="005C6BE4"/>
    <w:rsid w:val="00794ED3"/>
    <w:rsid w:val="008728A0"/>
    <w:rsid w:val="00A8021E"/>
    <w:rsid w:val="00C93D99"/>
    <w:rsid w:val="00D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Ayzhan A. Aldangorova</dc:creator>
  <cp:lastModifiedBy>Пользователь Windows</cp:lastModifiedBy>
  <cp:revision>6</cp:revision>
  <dcterms:created xsi:type="dcterms:W3CDTF">2020-03-09T19:12:00Z</dcterms:created>
  <dcterms:modified xsi:type="dcterms:W3CDTF">2020-03-21T17:25:00Z</dcterms:modified>
</cp:coreProperties>
</file>