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FB" w:rsidRPr="00E246C2" w:rsidRDefault="00255AFB" w:rsidP="00255AFB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255AFB" w:rsidRPr="00E246C2" w:rsidRDefault="00255AFB" w:rsidP="00255AF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55AFB" w:rsidRPr="00E246C2" w:rsidRDefault="00255AFB" w:rsidP="00255AFB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55AFB" w:rsidRPr="00E246C2" w:rsidRDefault="00255AFB" w:rsidP="00255AFB">
      <w:pPr>
        <w:rPr>
          <w:rFonts w:ascii="Times New Roman" w:hAnsi="Times New Roman" w:cs="Times New Roman"/>
          <w:sz w:val="28"/>
          <w:szCs w:val="28"/>
        </w:rPr>
        <w:sectPr w:rsidR="00255AFB" w:rsidRPr="00E246C2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255AFB" w:rsidRPr="00E246C2" w:rsidRDefault="00255AFB" w:rsidP="00255AFB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24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E24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кәс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255AFB" w:rsidRPr="00E246C2" w:rsidRDefault="00255AFB" w:rsidP="00255AFB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6C2">
        <w:rPr>
          <w:rFonts w:ascii="Times New Roman" w:hAnsi="Times New Roman" w:cs="Times New Roman"/>
          <w:sz w:val="28"/>
          <w:szCs w:val="28"/>
        </w:rPr>
        <w:br w:type="column"/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E246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255AFB" w:rsidRPr="00E246C2" w:rsidRDefault="00255AFB" w:rsidP="00255AFB">
      <w:pPr>
        <w:rPr>
          <w:rFonts w:ascii="Times New Roman" w:hAnsi="Times New Roman" w:cs="Times New Roman"/>
          <w:sz w:val="28"/>
          <w:szCs w:val="28"/>
        </w:rPr>
        <w:sectPr w:rsidR="00255AFB" w:rsidRPr="00E246C2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255AFB" w:rsidRPr="00E246C2" w:rsidRDefault="00255AFB" w:rsidP="00255AFB">
      <w:pPr>
        <w:spacing w:after="16" w:line="140" w:lineRule="exact"/>
        <w:rPr>
          <w:rFonts w:ascii="Times New Roman" w:hAnsi="Times New Roman" w:cs="Times New Roman"/>
          <w:sz w:val="28"/>
          <w:szCs w:val="28"/>
        </w:rPr>
      </w:pPr>
    </w:p>
    <w:p w:rsidR="00255AFB" w:rsidRPr="00E246C2" w:rsidRDefault="00255AFB" w:rsidP="00255AFB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E246C2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5E459E" w:rsidRDefault="005E459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E459E" w:rsidRDefault="005E459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E459E" w:rsidRDefault="005E459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E459E" w:rsidRDefault="005E459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E459E" w:rsidRDefault="005E459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E459E" w:rsidRDefault="005E459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E459E" w:rsidRDefault="005E459E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5E459E" w:rsidRDefault="00476F18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07" behindDoc="1" locked="0" layoutInCell="0" allowOverlap="1" wp14:anchorId="54359D51" wp14:editId="27E11E8B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5E459E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E459E" w:rsidRPr="00255AFB" w:rsidRDefault="00255AFB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E459E" w:rsidRDefault="005E459E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E459E" w:rsidRDefault="00476F18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пив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3"/>
                                      <w:szCs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</w:p>
                              </w:tc>
                            </w:tr>
                            <w:tr w:rsidR="005E459E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E459E" w:rsidRPr="00255AFB" w:rsidRDefault="00255AFB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Өндіруші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E459E" w:rsidRPr="00255AFB" w:rsidRDefault="00476F18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мф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 w:rsidR="00255AF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Қ</w:t>
                                  </w:r>
                                </w:p>
                              </w:tc>
                            </w:tr>
                            <w:tr w:rsidR="005E459E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E459E" w:rsidRPr="00255AFB" w:rsidRDefault="00255AFB" w:rsidP="00255AFB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E459E" w:rsidRPr="00255AFB" w:rsidRDefault="00255AFB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kk-KZ"/>
                                    </w:rPr>
                                    <w:t>ҚАЗАҚСТАН</w:t>
                                  </w:r>
                                </w:p>
                              </w:tc>
                            </w:tr>
                          </w:tbl>
                          <w:p w:rsidR="00BC2E6B" w:rsidRDefault="00BC2E6B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5E459E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E459E" w:rsidRPr="00255AFB" w:rsidRDefault="00255AFB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E459E" w:rsidRDefault="005E459E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E459E" w:rsidRDefault="00476F18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пив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о</w:t>
                            </w:r>
                          </w:p>
                        </w:tc>
                      </w:tr>
                      <w:tr w:rsidR="005E459E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E459E" w:rsidRPr="00255AFB" w:rsidRDefault="00255AFB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Өндіруші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E459E" w:rsidRPr="00255AFB" w:rsidRDefault="00476F18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мф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А</w:t>
                            </w:r>
                            <w:r w:rsidR="00255A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Қ</w:t>
                            </w:r>
                          </w:p>
                        </w:tc>
                      </w:tr>
                      <w:tr w:rsidR="005E459E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E459E" w:rsidRPr="00255AFB" w:rsidRDefault="00255AFB" w:rsidP="00255AFB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E459E" w:rsidRPr="00255AFB" w:rsidRDefault="00255AFB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kk-KZ"/>
                              </w:rPr>
                              <w:t>ҚАЗАҚСТАН</w:t>
                            </w:r>
                          </w:p>
                        </w:tc>
                      </w:tr>
                    </w:tbl>
                    <w:p w:rsidR="00BC2E6B" w:rsidRDefault="00BC2E6B"/>
                  </w:txbxContent>
                </v:textbox>
                <w10:wrap anchorx="page"/>
              </v:shape>
            </w:pict>
          </mc:Fallback>
        </mc:AlternateContent>
      </w:r>
      <w:r w:rsidR="00255AFB" w:rsidRPr="00255AFB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 xml:space="preserve"> </w:t>
      </w:r>
      <w:r w:rsidR="00255AFB" w:rsidRPr="00E246C2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="00255AFB" w:rsidRPr="00E246C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</w:p>
    <w:p w:rsidR="005E459E" w:rsidRDefault="005E459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E459E" w:rsidRDefault="005E459E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5E459E" w:rsidRDefault="00476F18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255AFB" w:rsidRPr="00E246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5E459E" w:rsidRDefault="005E459E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5E459E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476F1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255AFB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5E459E" w:rsidRDefault="005E459E">
      <w:pPr>
        <w:spacing w:after="3" w:line="220" w:lineRule="exact"/>
      </w:pPr>
    </w:p>
    <w:p w:rsidR="005E459E" w:rsidRDefault="00476F18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255AFB" w:rsidRPr="00E246C2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5E459E" w:rsidRDefault="005E459E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5E459E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476F1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255AF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5E459E">
        <w:trPr>
          <w:cantSplit/>
          <w:trHeight w:hRule="exact" w:val="32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5E459E">
            <w:pPr>
              <w:spacing w:line="240" w:lineRule="exact"/>
              <w:rPr>
                <w:sz w:val="24"/>
                <w:szCs w:val="24"/>
              </w:rPr>
            </w:pPr>
          </w:p>
          <w:p w:rsidR="005E459E" w:rsidRDefault="005E459E">
            <w:pPr>
              <w:spacing w:line="240" w:lineRule="exact"/>
              <w:rPr>
                <w:sz w:val="24"/>
                <w:szCs w:val="24"/>
              </w:rPr>
            </w:pPr>
          </w:p>
          <w:p w:rsidR="005E459E" w:rsidRDefault="005E459E">
            <w:pPr>
              <w:spacing w:line="240" w:lineRule="exact"/>
              <w:rPr>
                <w:sz w:val="24"/>
                <w:szCs w:val="24"/>
              </w:rPr>
            </w:pPr>
          </w:p>
          <w:p w:rsidR="005E459E" w:rsidRDefault="005E459E">
            <w:pPr>
              <w:spacing w:line="240" w:lineRule="exact"/>
              <w:rPr>
                <w:sz w:val="24"/>
                <w:szCs w:val="24"/>
              </w:rPr>
            </w:pPr>
          </w:p>
          <w:p w:rsidR="005E459E" w:rsidRDefault="005E459E">
            <w:pPr>
              <w:spacing w:line="240" w:lineRule="exact"/>
              <w:rPr>
                <w:sz w:val="24"/>
                <w:szCs w:val="24"/>
              </w:rPr>
            </w:pPr>
          </w:p>
          <w:p w:rsidR="005E459E" w:rsidRDefault="005E459E">
            <w:pPr>
              <w:spacing w:after="39" w:line="240" w:lineRule="exact"/>
              <w:rPr>
                <w:sz w:val="24"/>
                <w:szCs w:val="24"/>
              </w:rPr>
            </w:pPr>
          </w:p>
          <w:p w:rsidR="005E459E" w:rsidRDefault="00476F18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255AFB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255AFB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1981"/>
                <w:tab w:val="left" w:pos="2871"/>
                <w:tab w:val="left" w:pos="3468"/>
                <w:tab w:val="left" w:pos="3938"/>
                <w:tab w:val="left" w:pos="4198"/>
                <w:tab w:val="left" w:pos="5044"/>
                <w:tab w:val="left" w:pos="5377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ропивакаин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БФС физика-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химиялық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сериялы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сапаның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болады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субстанцияның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БФС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5E459E">
        <w:trPr>
          <w:cantSplit/>
          <w:trHeight w:hRule="exact" w:val="3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5E459E">
            <w:pPr>
              <w:spacing w:line="240" w:lineRule="exact"/>
              <w:rPr>
                <w:sz w:val="24"/>
                <w:szCs w:val="24"/>
              </w:rPr>
            </w:pPr>
          </w:p>
          <w:p w:rsidR="005E459E" w:rsidRDefault="005E459E">
            <w:pPr>
              <w:spacing w:line="240" w:lineRule="exact"/>
              <w:rPr>
                <w:sz w:val="24"/>
                <w:szCs w:val="24"/>
              </w:rPr>
            </w:pPr>
          </w:p>
          <w:p w:rsidR="005E459E" w:rsidRDefault="005E459E">
            <w:pPr>
              <w:spacing w:line="240" w:lineRule="exact"/>
              <w:rPr>
                <w:sz w:val="24"/>
                <w:szCs w:val="24"/>
              </w:rPr>
            </w:pPr>
          </w:p>
          <w:p w:rsidR="005E459E" w:rsidRDefault="005E459E">
            <w:pPr>
              <w:spacing w:line="240" w:lineRule="exact"/>
              <w:rPr>
                <w:sz w:val="24"/>
                <w:szCs w:val="24"/>
              </w:rPr>
            </w:pPr>
          </w:p>
          <w:p w:rsidR="005E459E" w:rsidRDefault="005E459E">
            <w:pPr>
              <w:spacing w:line="240" w:lineRule="exact"/>
              <w:rPr>
                <w:sz w:val="24"/>
                <w:szCs w:val="24"/>
              </w:rPr>
            </w:pPr>
          </w:p>
          <w:p w:rsidR="005E459E" w:rsidRDefault="005E459E">
            <w:pPr>
              <w:spacing w:line="240" w:lineRule="exact"/>
              <w:rPr>
                <w:sz w:val="24"/>
                <w:szCs w:val="24"/>
              </w:rPr>
            </w:pPr>
          </w:p>
          <w:p w:rsidR="005E459E" w:rsidRDefault="005E459E">
            <w:pPr>
              <w:spacing w:after="6" w:line="160" w:lineRule="exact"/>
              <w:rPr>
                <w:sz w:val="16"/>
                <w:szCs w:val="16"/>
              </w:rPr>
            </w:pPr>
          </w:p>
          <w:p w:rsidR="005E459E" w:rsidRDefault="00476F18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255AFB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мен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255AFB">
            <w:pPr>
              <w:widowControl w:val="0"/>
              <w:tabs>
                <w:tab w:val="left" w:pos="521"/>
                <w:tab w:val="left" w:pos="1570"/>
                <w:tab w:val="left" w:pos="2209"/>
                <w:tab w:val="left" w:pos="2876"/>
                <w:tab w:val="left" w:pos="3685"/>
                <w:tab w:val="left" w:pos="4431"/>
                <w:tab w:val="left" w:pos="4796"/>
                <w:tab w:val="left" w:pos="5189"/>
                <w:tab w:val="left" w:pos="6086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Препарат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қолдануға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әрбір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сертификаттарымен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(ЕФ 9.5).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даму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таңдалды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негізделген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деректерімен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5E459E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476F1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255AFB" w:rsidP="00255AFB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476F1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476F1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476F1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476F1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476F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</w:tbl>
    <w:p w:rsidR="005E459E" w:rsidRDefault="005E459E">
      <w:pPr>
        <w:sectPr w:rsidR="005E459E">
          <w:type w:val="continuous"/>
          <w:pgSz w:w="11905" w:h="16837"/>
          <w:pgMar w:top="563" w:right="850" w:bottom="766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5E459E">
        <w:trPr>
          <w:cantSplit/>
          <w:trHeight w:hRule="exact" w:val="2159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5E459E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255AF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255AFB">
            <w:pPr>
              <w:widowControl w:val="0"/>
              <w:tabs>
                <w:tab w:val="left" w:pos="1313"/>
                <w:tab w:val="left" w:pos="2169"/>
                <w:tab w:val="left" w:pos="2480"/>
                <w:tab w:val="left" w:pos="3430"/>
                <w:tab w:val="left" w:pos="3874"/>
                <w:tab w:val="left" w:pos="4355"/>
                <w:tab w:val="left" w:pos="5192"/>
                <w:tab w:val="left" w:pos="556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GMP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қанағаттандыратын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процесінде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пен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процесінің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келтірілген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Валидациялық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сынақтардың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екенін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өнімге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компания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сипаттамасының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келетін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сериядан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серияға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алуға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мүмкіндік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беретінін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көрсетеді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5E459E" w:rsidTr="00255AFB">
        <w:trPr>
          <w:cantSplit/>
          <w:trHeight w:hRule="exact" w:val="352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5E459E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255AF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ерекшеліктері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5E459E">
            <w:pPr>
              <w:spacing w:after="14" w:line="200" w:lineRule="exact"/>
              <w:rPr>
                <w:sz w:val="20"/>
                <w:szCs w:val="20"/>
              </w:rPr>
            </w:pPr>
          </w:p>
          <w:p w:rsidR="005E459E" w:rsidRDefault="00255AFB">
            <w:pPr>
              <w:widowControl w:val="0"/>
              <w:spacing w:line="240" w:lineRule="auto"/>
              <w:ind w:left="60" w:right="3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EF 9.5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стандарттары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мен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ich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Q2, Q6A, Q3A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нұсқаулықтары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шеңберіндегі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сипаттаманың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ұсынылған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негіздемесі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препараттың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сапасы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мен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Қолданылатын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талдау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әдістерінің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сәйкестігін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дәлелдейді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.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Талдамалық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әдістемелердің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жүргізілген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валидациясының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нәтижелері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мәлімделген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дәрілік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заттың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сапасын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күнделікті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бақылау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үшін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әдістемелерді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қолдану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мүмкіндігін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растайды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.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Ұсынылған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үш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сериялы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серияға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арналған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талдау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сертификаттары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өнімнің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сапасы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мен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біртектілігі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сериядан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серияға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дейін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сақталатындығын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процестің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бақылауда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екенін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дәлелдейді</w:t>
            </w:r>
            <w:proofErr w:type="spellEnd"/>
          </w:p>
        </w:tc>
      </w:tr>
      <w:tr w:rsidR="005E459E" w:rsidRPr="00055C20" w:rsidTr="00255AFB">
        <w:trPr>
          <w:cantSplit/>
          <w:trHeight w:hRule="exact" w:val="6384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5E459E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255AF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AFB" w:rsidRPr="00255AFB" w:rsidRDefault="00255AFB" w:rsidP="00255AF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Тұрақтылықты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сынау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ICH Q1A (R2), Q1 C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талаптарына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жүргізілді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Бастапқы қаптама мәлімделген деректерге сәйкес келеді. </w:t>
            </w:r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</w:p>
          <w:p w:rsidR="00255AFB" w:rsidRPr="00255AFB" w:rsidRDefault="00255AFB" w:rsidP="00255AF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255AFB" w:rsidRPr="00255AFB" w:rsidRDefault="00255AFB" w:rsidP="00255AF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Тұрақтылықты ұзақ мерзімді зерттеу нәтижелеріне сәйкес дайын препарат сапасының сыни көрсеткіштерінің елеулі өзгерістері байқалмайды.</w:t>
            </w:r>
          </w:p>
          <w:p w:rsidR="00255AFB" w:rsidRPr="00255AFB" w:rsidRDefault="00255AFB" w:rsidP="00255AF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255AFB" w:rsidRPr="00255AFB" w:rsidRDefault="00255AFB" w:rsidP="00255AF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1. Сипаттамасы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ерекшелікте</w:t>
            </w:r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талаптарына сәйкес келеді;</w:t>
            </w:r>
          </w:p>
          <w:p w:rsidR="00255AFB" w:rsidRPr="00255AFB" w:rsidRDefault="00255AFB" w:rsidP="00255AF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255AFB" w:rsidRPr="00255AFB" w:rsidRDefault="00255AFB" w:rsidP="00255AF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2. Қоспалардың құрамы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</w:t>
            </w:r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шегінде болады;</w:t>
            </w:r>
          </w:p>
          <w:p w:rsidR="00255AFB" w:rsidRPr="00255AFB" w:rsidRDefault="00255AFB" w:rsidP="00255AF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255AFB" w:rsidRPr="00255AFB" w:rsidRDefault="00255AFB" w:rsidP="00255AF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 Әсер етуші заттың сандық құрамының елеулі өзгерістері байқалмайды.</w:t>
            </w:r>
          </w:p>
          <w:p w:rsidR="005E459E" w:rsidRPr="00255AFB" w:rsidRDefault="005E459E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E459E" w:rsidRPr="00255AFB" w:rsidRDefault="00255AFB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255AF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Препараттың тұрақтылығын зерттеу нәтижелері мәлімделген сақтау мерзімін 2 жыл растайды.</w:t>
            </w:r>
          </w:p>
        </w:tc>
      </w:tr>
      <w:tr w:rsidR="005E459E">
        <w:trPr>
          <w:cantSplit/>
          <w:trHeight w:hRule="exact" w:val="15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Pr="00255AFB" w:rsidRDefault="005E459E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5E459E" w:rsidRPr="00255AFB" w:rsidRDefault="005E459E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5E459E" w:rsidRPr="00255AFB" w:rsidRDefault="005E459E">
            <w:pPr>
              <w:spacing w:after="17" w:line="160" w:lineRule="exact"/>
              <w:rPr>
                <w:sz w:val="16"/>
                <w:szCs w:val="16"/>
                <w:lang w:val="kk-KZ"/>
              </w:rPr>
            </w:pPr>
          </w:p>
          <w:p w:rsidR="005E459E" w:rsidRDefault="00476F18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  <w:p w:rsidR="001A6DA5" w:rsidRDefault="001A6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1A6DA5" w:rsidRDefault="001A6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1A6DA5" w:rsidRDefault="001A6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1A6DA5" w:rsidRDefault="001A6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1A6DA5" w:rsidRDefault="001A6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1A6DA5" w:rsidRDefault="001A6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1A6DA5" w:rsidRPr="001A6DA5" w:rsidRDefault="001A6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2.3.</w:t>
            </w:r>
          </w:p>
          <w:p w:rsidR="001A6DA5" w:rsidRDefault="001A6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1A6DA5" w:rsidRDefault="001A6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1A6DA5" w:rsidRDefault="001A6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1A6DA5" w:rsidRDefault="001A6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1A6DA5" w:rsidRDefault="001A6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1A6DA5" w:rsidRDefault="001A6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1A6DA5" w:rsidRDefault="001A6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1A6DA5" w:rsidRPr="001A6DA5" w:rsidRDefault="001A6DA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255AF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Клиникаға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дейінгі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аспектілер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5E459E">
            <w:pPr>
              <w:spacing w:after="15" w:line="200" w:lineRule="exact"/>
              <w:rPr>
                <w:sz w:val="20"/>
                <w:szCs w:val="20"/>
              </w:rPr>
            </w:pPr>
          </w:p>
          <w:p w:rsidR="005E459E" w:rsidRDefault="00255AFB">
            <w:pPr>
              <w:widowControl w:val="0"/>
              <w:spacing w:line="240" w:lineRule="auto"/>
              <w:ind w:left="60" w:right="6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Препарат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қайта өндірілген </w:t>
            </w:r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болып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табылады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осыған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байланысты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клиникаға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дейінгі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зерттеулер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жүргізу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етілмейді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Клиникаға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дейінгі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зерттеулерге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әдеби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шолу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жасалды</w:t>
            </w:r>
            <w:proofErr w:type="spellEnd"/>
            <w:r w:rsidRPr="00255AF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</w:tbl>
    <w:p w:rsidR="005E459E" w:rsidRDefault="005E459E">
      <w:pPr>
        <w:sectPr w:rsidR="005E459E">
          <w:pgSz w:w="11905" w:h="16837"/>
          <w:pgMar w:top="560" w:right="850" w:bottom="1134" w:left="1133" w:header="0" w:footer="0" w:gutter="0"/>
          <w:cols w:space="708"/>
        </w:sectPr>
      </w:pPr>
    </w:p>
    <w:p w:rsidR="005E459E" w:rsidRDefault="00476F18" w:rsidP="00255AFB">
      <w:pPr>
        <w:widowControl w:val="0"/>
        <w:tabs>
          <w:tab w:val="left" w:pos="6304"/>
          <w:tab w:val="left" w:pos="7675"/>
          <w:tab w:val="left" w:pos="8620"/>
        </w:tabs>
        <w:spacing w:line="240" w:lineRule="auto"/>
        <w:ind w:left="3628" w:right="42" w:hanging="2947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19" behindDoc="1" locked="0" layoutInCell="0" allowOverlap="1" wp14:anchorId="1F08ADF4" wp14:editId="2B061A6C">
                <wp:simplePos x="0" y="0"/>
                <wp:positionH relativeFrom="page">
                  <wp:posOffset>719962</wp:posOffset>
                </wp:positionH>
                <wp:positionV relativeFrom="paragraph">
                  <wp:posOffset>2413</wp:posOffset>
                </wp:positionV>
                <wp:extent cx="6264020" cy="9489693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020" cy="9489693"/>
                          <a:chOff x="0" y="0"/>
                          <a:chExt cx="6264020" cy="9489693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432054" cy="3830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 h="3830446">
                                <a:moveTo>
                                  <a:pt x="0" y="3830446"/>
                                </a:moveTo>
                                <a:lnTo>
                                  <a:pt x="432054" y="3830446"/>
                                </a:lnTo>
                                <a:lnTo>
                                  <a:pt x="432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304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32054" y="0"/>
                            <a:ext cx="1871979" cy="3830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3830446">
                                <a:moveTo>
                                  <a:pt x="0" y="3830446"/>
                                </a:moveTo>
                                <a:lnTo>
                                  <a:pt x="1871979" y="3830446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304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304033" y="0"/>
                            <a:ext cx="3959986" cy="3830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 h="3830446">
                                <a:moveTo>
                                  <a:pt x="0" y="3830446"/>
                                </a:moveTo>
                                <a:lnTo>
                                  <a:pt x="3959986" y="3830446"/>
                                </a:lnTo>
                                <a:lnTo>
                                  <a:pt x="3959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304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830446"/>
                            <a:ext cx="432054" cy="3117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 h="3117596">
                                <a:moveTo>
                                  <a:pt x="0" y="3117596"/>
                                </a:moveTo>
                                <a:lnTo>
                                  <a:pt x="432054" y="3117596"/>
                                </a:lnTo>
                                <a:lnTo>
                                  <a:pt x="432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75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32054" y="3830446"/>
                            <a:ext cx="1871979" cy="3117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3117596">
                                <a:moveTo>
                                  <a:pt x="0" y="3117596"/>
                                </a:moveTo>
                                <a:lnTo>
                                  <a:pt x="1871979" y="3117596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75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304033" y="3830446"/>
                            <a:ext cx="3959986" cy="3117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 h="3117596">
                                <a:moveTo>
                                  <a:pt x="0" y="3117596"/>
                                </a:moveTo>
                                <a:lnTo>
                                  <a:pt x="3959986" y="3117596"/>
                                </a:lnTo>
                                <a:lnTo>
                                  <a:pt x="3959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75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948042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32054" y="6948042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6948042"/>
                            <a:ext cx="432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>
                                <a:moveTo>
                                  <a:pt x="0" y="0"/>
                                </a:moveTo>
                                <a:lnTo>
                                  <a:pt x="432054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32054" y="6948042"/>
                            <a:ext cx="5831966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1966" h="216026">
                                <a:moveTo>
                                  <a:pt x="0" y="216026"/>
                                </a:moveTo>
                                <a:lnTo>
                                  <a:pt x="5831966" y="216026"/>
                                </a:lnTo>
                                <a:lnTo>
                                  <a:pt x="5831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7164069"/>
                            <a:ext cx="0" cy="2109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597">
                                <a:moveTo>
                                  <a:pt x="0" y="2109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32054" y="7164069"/>
                            <a:ext cx="0" cy="2109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597">
                                <a:moveTo>
                                  <a:pt x="0" y="2109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32054" y="7164069"/>
                            <a:ext cx="1871979" cy="2109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2109597">
                                <a:moveTo>
                                  <a:pt x="0" y="2109597"/>
                                </a:moveTo>
                                <a:lnTo>
                                  <a:pt x="1871979" y="2109597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95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304033" y="7164069"/>
                            <a:ext cx="0" cy="2109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597">
                                <a:moveTo>
                                  <a:pt x="0" y="2109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264020" y="7164069"/>
                            <a:ext cx="0" cy="2109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597">
                                <a:moveTo>
                                  <a:pt x="0" y="2109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304033" y="7164069"/>
                            <a:ext cx="3959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>
                                <a:moveTo>
                                  <a:pt x="0" y="0"/>
                                </a:moveTo>
                                <a:lnTo>
                                  <a:pt x="3959986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9273666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32054" y="9273666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9489693"/>
                            <a:ext cx="432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>
                                <a:moveTo>
                                  <a:pt x="0" y="0"/>
                                </a:moveTo>
                                <a:lnTo>
                                  <a:pt x="432054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32054" y="9273666"/>
                            <a:ext cx="1871979" cy="21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216027">
                                <a:moveTo>
                                  <a:pt x="0" y="216027"/>
                                </a:moveTo>
                                <a:lnTo>
                                  <a:pt x="1871979" y="216027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304033" y="9273666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264020" y="9273666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304033" y="9489693"/>
                            <a:ext cx="3959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>
                                <a:moveTo>
                                  <a:pt x="0" y="0"/>
                                </a:moveTo>
                                <a:lnTo>
                                  <a:pt x="3959986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="00255AFB"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255AFB"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255AFB"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255AFB"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255AFB"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255AFB"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калық</w:t>
      </w:r>
      <w:r w:rsidR="00255AFB"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а</w:t>
      </w:r>
      <w:r w:rsidR="00255AFB"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255AFB"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255AFB"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</w:t>
      </w:r>
      <w:r w:rsidR="00255AFB"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55AFB" w:rsidRPr="00E246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ілер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Препарат </w:t>
      </w:r>
      <w:proofErr w:type="spellStart"/>
      <w:r w:rsid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қайта</w:t>
      </w:r>
      <w:proofErr w:type="spellEnd"/>
      <w:r w:rsid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 xml:space="preserve">өндірілген </w:t>
      </w:r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болып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табылады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 w:rsid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 xml:space="preserve">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өндіруші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"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Химфарм"АҚ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,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Қазақстан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Республикасының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тиісті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өндірістік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практика сертификаты бар,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осыған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байланысты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клиникалық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зерттеулер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жүргізу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талап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етілмейді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. Материал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тиімділік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пен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қауіпсіздікті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клиникалық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зерттеу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бойынша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әдебиеттерге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шолу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түрінде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ұсынылған</w:t>
      </w:r>
      <w:proofErr w:type="spellEnd"/>
      <w:r w:rsidR="00255AFB" w:rsidRPr="00255AF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.</w:t>
      </w:r>
    </w:p>
    <w:p w:rsidR="00255AFB" w:rsidRPr="00255AFB" w:rsidRDefault="00255AFB" w:rsidP="00255AFB">
      <w:pPr>
        <w:widowControl w:val="0"/>
        <w:tabs>
          <w:tab w:val="left" w:pos="6304"/>
          <w:tab w:val="left" w:pos="7675"/>
          <w:tab w:val="left" w:pos="8620"/>
        </w:tabs>
        <w:spacing w:line="240" w:lineRule="auto"/>
        <w:ind w:left="3628" w:right="42" w:hanging="2947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55AFB" w:rsidRPr="00255AFB" w:rsidRDefault="00255AFB" w:rsidP="00255AFB">
      <w:pPr>
        <w:widowControl w:val="0"/>
        <w:tabs>
          <w:tab w:val="left" w:pos="5108"/>
          <w:tab w:val="left" w:pos="5769"/>
          <w:tab w:val="left" w:pos="7247"/>
          <w:tab w:val="left" w:pos="8750"/>
        </w:tabs>
        <w:spacing w:line="240" w:lineRule="auto"/>
        <w:ind w:left="3628" w:right="80"/>
        <w:jc w:val="both"/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>«</w:t>
      </w:r>
      <w:r w:rsidRPr="00255AFB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>Дәрілік заттарға, медициналық мақсаттағы бұйымдар мен медициналық техникаға сараптама жү</w:t>
      </w:r>
      <w:r w:rsidR="001A6DA5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>ргізу қағидаларын бекіту туралы»</w:t>
      </w:r>
      <w:r w:rsidRPr="00255AFB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 xml:space="preserve"> №736 бұйрығының 4-қосымшасының 2.2-тармағына сәйкес құжаты бар өтініш берушіден,</w:t>
      </w:r>
    </w:p>
    <w:p w:rsidR="005E459E" w:rsidRPr="001A6DA5" w:rsidRDefault="00255AFB" w:rsidP="001A6DA5">
      <w:pPr>
        <w:widowControl w:val="0"/>
        <w:tabs>
          <w:tab w:val="left" w:pos="5108"/>
          <w:tab w:val="left" w:pos="5769"/>
          <w:tab w:val="left" w:pos="7247"/>
          <w:tab w:val="left" w:pos="8750"/>
        </w:tabs>
        <w:spacing w:line="240" w:lineRule="auto"/>
        <w:ind w:left="3628" w:right="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 w:rsidRPr="001A6DA5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>өндірістің Қазақстан Республикасының тиісті өндірістік практикасына сәйкестігін растайтын, ин-виво баламалылығын зерттеу есептерін ұсыну талап етілмейді.</w:t>
      </w:r>
      <w:r w:rsidR="001A6DA5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 xml:space="preserve"> </w:t>
      </w:r>
    </w:p>
    <w:p w:rsidR="005E459E" w:rsidRPr="001A6DA5" w:rsidRDefault="005E459E">
      <w:pPr>
        <w:spacing w:line="220" w:lineRule="exact"/>
        <w:rPr>
          <w:rFonts w:ascii="Times New Roman" w:eastAsia="Times New Roman" w:hAnsi="Times New Roman" w:cs="Times New Roman"/>
          <w:lang w:val="kk-KZ"/>
        </w:rPr>
      </w:pPr>
    </w:p>
    <w:p w:rsidR="005E459E" w:rsidRPr="001A6DA5" w:rsidRDefault="001A6DA5">
      <w:pPr>
        <w:widowControl w:val="0"/>
        <w:tabs>
          <w:tab w:val="left" w:pos="6304"/>
          <w:tab w:val="left" w:pos="7675"/>
          <w:tab w:val="left" w:pos="8620"/>
        </w:tabs>
        <w:spacing w:line="240" w:lineRule="auto"/>
        <w:ind w:left="3628" w:right="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 w:rsidRPr="001A6DA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>Материал тиімділік пен қауіпсіздікті клиникалық зерттеу бойынша әдебиеттерге шолу түрінде ұсынылған.</w:t>
      </w:r>
      <w:r w:rsidR="00476F18" w:rsidRPr="001A6DA5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.</w:t>
      </w:r>
    </w:p>
    <w:p w:rsidR="005E459E" w:rsidRPr="001A6DA5" w:rsidRDefault="005E459E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A6DA5" w:rsidRDefault="001A6DA5">
      <w:pPr>
        <w:widowControl w:val="0"/>
        <w:spacing w:line="240" w:lineRule="auto"/>
        <w:ind w:left="3628" w:right="96" w:hanging="2947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</w:pPr>
    </w:p>
    <w:p w:rsidR="001A6DA5" w:rsidRDefault="001A6DA5">
      <w:pPr>
        <w:widowControl w:val="0"/>
        <w:spacing w:line="240" w:lineRule="auto"/>
        <w:ind w:left="3628" w:right="96" w:hanging="2947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</w:pPr>
    </w:p>
    <w:p w:rsidR="001A6DA5" w:rsidRDefault="001A6DA5">
      <w:pPr>
        <w:widowControl w:val="0"/>
        <w:spacing w:line="240" w:lineRule="auto"/>
        <w:ind w:left="3628" w:right="96" w:hanging="2947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</w:pPr>
    </w:p>
    <w:p w:rsidR="001A6DA5" w:rsidRDefault="001A6DA5">
      <w:pPr>
        <w:widowControl w:val="0"/>
        <w:spacing w:line="240" w:lineRule="auto"/>
        <w:ind w:left="3628" w:right="96" w:hanging="2947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</w:pPr>
    </w:p>
    <w:p w:rsidR="001A6DA5" w:rsidRDefault="001A6DA5">
      <w:pPr>
        <w:widowControl w:val="0"/>
        <w:spacing w:line="240" w:lineRule="auto"/>
        <w:ind w:left="3628" w:right="96" w:hanging="2947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</w:pPr>
    </w:p>
    <w:p w:rsidR="001A6DA5" w:rsidRPr="001A6DA5" w:rsidRDefault="001A6DA5" w:rsidP="001A6DA5">
      <w:pPr>
        <w:widowControl w:val="0"/>
        <w:spacing w:line="240" w:lineRule="auto"/>
        <w:ind w:left="3628" w:right="96" w:hanging="2947"/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  <w:lang w:val="kk-KZ"/>
        </w:rPr>
      </w:pP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Пайда-қауіпті бағалау</w:t>
      </w:r>
      <w:r w:rsidR="00476F18" w:rsidRPr="001A6DA5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ab/>
      </w:r>
      <w:r w:rsidRPr="001A6DA5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  <w:lang w:val="kk-KZ"/>
        </w:rPr>
        <w:t>Препаратты дәрігердің тағайындауына сәйкес қолданған және нұсқаулықты сақтаған жағдайда "пайда/қауіп" арақатынасы қолайлы.</w:t>
      </w:r>
    </w:p>
    <w:p w:rsidR="001A6DA5" w:rsidRPr="001A6DA5" w:rsidRDefault="001A6DA5" w:rsidP="001A6DA5">
      <w:pPr>
        <w:widowControl w:val="0"/>
        <w:spacing w:line="240" w:lineRule="auto"/>
        <w:ind w:left="3628" w:right="96" w:hanging="2947"/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  <w:lang w:val="kk-KZ"/>
        </w:rPr>
      </w:pPr>
    </w:p>
    <w:p w:rsidR="005E459E" w:rsidRDefault="001A6DA5" w:rsidP="001A6DA5">
      <w:pPr>
        <w:widowControl w:val="0"/>
        <w:spacing w:line="240" w:lineRule="auto"/>
        <w:ind w:left="3628" w:right="96" w:hanging="294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6DA5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Пайда</w:t>
      </w:r>
      <w:proofErr w:type="spellEnd"/>
      <w:r w:rsidRPr="001A6DA5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 xml:space="preserve"> / </w:t>
      </w:r>
      <w:proofErr w:type="spellStart"/>
      <w:r w:rsidRPr="001A6DA5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қауіп</w:t>
      </w:r>
      <w:proofErr w:type="spellEnd"/>
      <w:r w:rsidRPr="001A6DA5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 xml:space="preserve"> </w:t>
      </w:r>
      <w:proofErr w:type="spellStart"/>
      <w:r w:rsidRPr="001A6DA5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бағасын</w:t>
      </w:r>
      <w:proofErr w:type="spellEnd"/>
      <w:r w:rsidRPr="001A6DA5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 xml:space="preserve"> </w:t>
      </w:r>
      <w:proofErr w:type="spellStart"/>
      <w:r w:rsidRPr="001A6DA5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ескере</w:t>
      </w:r>
      <w:proofErr w:type="spellEnd"/>
      <w:r w:rsidRPr="001A6DA5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 xml:space="preserve"> </w:t>
      </w:r>
      <w:proofErr w:type="spellStart"/>
      <w:r w:rsidRPr="001A6DA5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отырып</w:t>
      </w:r>
      <w:proofErr w:type="spellEnd"/>
      <w:r w:rsidRPr="001A6DA5">
        <w:rPr>
          <w:rFonts w:ascii="Times New Roman" w:eastAsia="Times New Roman" w:hAnsi="Times New Roman" w:cs="Times New Roman"/>
          <w:color w:val="000000"/>
          <w:spacing w:val="4"/>
          <w:position w:val="-21"/>
          <w:sz w:val="23"/>
          <w:szCs w:val="23"/>
        </w:rPr>
        <w:t>, препарат</w:t>
      </w:r>
    </w:p>
    <w:p w:rsidR="005E459E" w:rsidRDefault="005E459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5E459E" w:rsidRDefault="005E459E">
      <w:pPr>
        <w:sectPr w:rsidR="005E459E">
          <w:pgSz w:w="11905" w:h="16837"/>
          <w:pgMar w:top="563" w:right="845" w:bottom="1134" w:left="1194" w:header="0" w:footer="0" w:gutter="0"/>
          <w:cols w:space="708"/>
        </w:sectPr>
      </w:pPr>
    </w:p>
    <w:p w:rsidR="005E459E" w:rsidRDefault="005E459E">
      <w:pPr>
        <w:spacing w:after="118" w:line="240" w:lineRule="exact"/>
        <w:rPr>
          <w:sz w:val="24"/>
          <w:szCs w:val="24"/>
        </w:rPr>
      </w:pPr>
    </w:p>
    <w:p w:rsidR="005E459E" w:rsidRDefault="00476F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2.4</w:t>
      </w:r>
    </w:p>
    <w:p w:rsidR="005E459E" w:rsidRDefault="005E45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59E" w:rsidRDefault="005E45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59E" w:rsidRDefault="005E45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59E" w:rsidRDefault="005E45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59E" w:rsidRDefault="005E45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59E" w:rsidRDefault="005E45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59E" w:rsidRDefault="005E45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59E" w:rsidRDefault="005E45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59E" w:rsidRDefault="005E45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59E" w:rsidRDefault="005E459E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E459E" w:rsidRPr="001A6DA5" w:rsidRDefault="001A6DA5">
      <w:pPr>
        <w:widowControl w:val="0"/>
        <w:tabs>
          <w:tab w:val="left" w:pos="6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 </w:t>
      </w:r>
      <w:r w:rsidRPr="001A6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логиялық қадағалау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476F18" w:rsidRPr="00E246C2" w:rsidRDefault="00476F18" w:rsidP="00476F1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</w:pP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Фармакологиялық </w:t>
      </w:r>
    </w:p>
    <w:p w:rsidR="00476F18" w:rsidRPr="00E246C2" w:rsidRDefault="00476F18" w:rsidP="00476F18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қадағалау жүйесінің сипаттамасы</w:t>
      </w:r>
    </w:p>
    <w:p w:rsidR="00055C20" w:rsidRDefault="00476F18" w:rsidP="001A6DA5">
      <w:pPr>
        <w:widowControl w:val="0"/>
        <w:tabs>
          <w:tab w:val="left" w:pos="2169"/>
          <w:tab w:val="left" w:pos="2858"/>
          <w:tab w:val="left" w:pos="3517"/>
          <w:tab w:val="left" w:pos="4409"/>
          <w:tab w:val="left" w:pos="4963"/>
          <w:tab w:val="left" w:pos="5214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</w:pPr>
      <w:r w:rsidRPr="00055C20">
        <w:rPr>
          <w:lang w:val="kk-KZ"/>
        </w:rPr>
        <w:br w:type="column"/>
      </w:r>
      <w:r w:rsidR="001A6DA5" w:rsidRPr="00055C2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lastRenderedPageBreak/>
        <w:t>ропивакаиннің әсер етуші затына немесе 6.1-бөлімде аталған қосымша заттардың кез келгеніне аса жоғары сезімталдық, сондай-ақ жергілікті анестетиктерді қолдануға қарамастан эпидуральді немесе регионарлық анестезиямен байланысты амидті түрдегі др жергілікті анестетиктерге қарсы көрсетілімдер</w:t>
      </w:r>
      <w:r w:rsidR="001A6DA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 xml:space="preserve"> </w:t>
      </w:r>
      <w:r w:rsidR="001A6DA5" w:rsidRPr="00055C20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 xml:space="preserve">гиповолемиясы бар </w:t>
      </w:r>
      <w:r w:rsidR="001A6DA5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 xml:space="preserve">пациенттерде </w:t>
      </w:r>
      <w:r w:rsidR="001A6DA5" w:rsidRPr="00055C20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>эпидуральді және интратекальді анестезияның босандыру парацервикальді анестезиясының венаішілік өңірлік анестезиясы</w:t>
      </w:r>
      <w:r w:rsidR="001A6DA5" w:rsidRPr="00055C20">
        <w:rPr>
          <w:lang w:val="kk-KZ"/>
        </w:rPr>
        <w:t xml:space="preserve"> </w:t>
      </w:r>
      <w:r w:rsidR="001A6DA5" w:rsidRPr="00055C20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 xml:space="preserve">Польфарма компаниясының тобы фармакологиялық қадағалау жүйесі бекітілгенін және олардың барлық өнімдеріне қолданылатынын растайды. </w:t>
      </w:r>
    </w:p>
    <w:p w:rsidR="00055C20" w:rsidRDefault="00055C20" w:rsidP="001A6DA5">
      <w:pPr>
        <w:widowControl w:val="0"/>
        <w:tabs>
          <w:tab w:val="left" w:pos="2169"/>
          <w:tab w:val="left" w:pos="2858"/>
          <w:tab w:val="left" w:pos="3517"/>
          <w:tab w:val="left" w:pos="4409"/>
          <w:tab w:val="left" w:pos="4963"/>
          <w:tab w:val="left" w:pos="5214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</w:pPr>
    </w:p>
    <w:p w:rsidR="00055C20" w:rsidRDefault="00055C20" w:rsidP="001A6DA5">
      <w:pPr>
        <w:widowControl w:val="0"/>
        <w:tabs>
          <w:tab w:val="left" w:pos="2169"/>
          <w:tab w:val="left" w:pos="2858"/>
          <w:tab w:val="left" w:pos="3517"/>
          <w:tab w:val="left" w:pos="4409"/>
          <w:tab w:val="left" w:pos="4963"/>
          <w:tab w:val="left" w:pos="5214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</w:pPr>
    </w:p>
    <w:p w:rsidR="001A6DA5" w:rsidRPr="00055C20" w:rsidRDefault="001A6DA5" w:rsidP="001A6DA5">
      <w:pPr>
        <w:widowControl w:val="0"/>
        <w:tabs>
          <w:tab w:val="left" w:pos="2169"/>
          <w:tab w:val="left" w:pos="2858"/>
          <w:tab w:val="left" w:pos="3517"/>
          <w:tab w:val="left" w:pos="4409"/>
          <w:tab w:val="left" w:pos="4963"/>
          <w:tab w:val="left" w:pos="5214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</w:pPr>
      <w:r w:rsidRPr="00055C20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>Фармакологиялық қадағалаудың Мастер-файлы мына мекенжайда сақталады: "POLPHARMA Biuro Handlowe Sp. z o.O." 6, Бобровицкая к-сі, 00-728 Варшава, ПОЛЬША</w:t>
      </w:r>
    </w:p>
    <w:p w:rsidR="001A6DA5" w:rsidRPr="00476F18" w:rsidRDefault="001A6DA5" w:rsidP="001A6DA5">
      <w:pPr>
        <w:widowControl w:val="0"/>
        <w:tabs>
          <w:tab w:val="left" w:pos="2169"/>
          <w:tab w:val="left" w:pos="2858"/>
          <w:tab w:val="left" w:pos="3517"/>
          <w:tab w:val="left" w:pos="4409"/>
          <w:tab w:val="left" w:pos="4963"/>
          <w:tab w:val="left" w:pos="5214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</w:pPr>
    </w:p>
    <w:p w:rsidR="001A6DA5" w:rsidRPr="00476F18" w:rsidRDefault="001A6DA5" w:rsidP="001A6DA5">
      <w:pPr>
        <w:widowControl w:val="0"/>
        <w:tabs>
          <w:tab w:val="left" w:pos="2169"/>
          <w:tab w:val="left" w:pos="2858"/>
          <w:tab w:val="left" w:pos="3517"/>
          <w:tab w:val="left" w:pos="4409"/>
          <w:tab w:val="left" w:pos="4963"/>
          <w:tab w:val="left" w:pos="5214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</w:pPr>
      <w:r w:rsidRPr="00055C20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>Фармакологиялық қадағалауға жауапты уәк</w:t>
      </w:r>
      <w:r w:rsidR="00476F18" w:rsidRPr="00055C20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>ілетті тұлға - Изабелла Словик.</w:t>
      </w:r>
    </w:p>
    <w:p w:rsidR="005E459E" w:rsidRPr="00476F18" w:rsidRDefault="00476F18" w:rsidP="00476F18">
      <w:pPr>
        <w:widowControl w:val="0"/>
        <w:tabs>
          <w:tab w:val="left" w:pos="2169"/>
          <w:tab w:val="left" w:pos="2858"/>
          <w:tab w:val="left" w:pos="3517"/>
          <w:tab w:val="left" w:pos="4409"/>
          <w:tab w:val="left" w:pos="4963"/>
          <w:tab w:val="left" w:pos="5214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>Т</w:t>
      </w:r>
      <w:r w:rsidR="001A6DA5" w:rsidRPr="00055C20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>БЖ ұсыну талап етілмейді, себе</w:t>
      </w:r>
      <w:r w:rsidRPr="00055C20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>бі генерикалық препаратты тірке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>лді</w:t>
      </w:r>
      <w:r w:rsidR="001A6DA5" w:rsidRPr="00055C20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>.</w:t>
      </w:r>
    </w:p>
    <w:p w:rsidR="005E459E" w:rsidRPr="00476F18" w:rsidRDefault="00476F18">
      <w:pPr>
        <w:rPr>
          <w:lang w:val="kk-KZ"/>
        </w:rPr>
        <w:sectPr w:rsidR="005E459E" w:rsidRPr="00476F18">
          <w:type w:val="continuous"/>
          <w:pgSz w:w="11905" w:h="16837"/>
          <w:pgMar w:top="563" w:right="845" w:bottom="1134" w:left="1194" w:header="0" w:footer="0" w:gutter="0"/>
          <w:cols w:num="2" w:space="708" w:equalWidth="0">
            <w:col w:w="2566" w:space="1062"/>
            <w:col w:w="6238" w:space="0"/>
          </w:cols>
        </w:sectPr>
      </w:pPr>
      <w:r w:rsidRPr="00476F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>Польфарма компаниясының тобы фармакологиялық қадағалау жүйесі бекітілгенін және олардың барлық өнімдеріне қолданылатынын растайды. Фармакологиялық қадағ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>алаудың Мастер-файлы мына мекен</w:t>
      </w:r>
      <w:r w:rsidRPr="00476F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 xml:space="preserve">жайда сақталады: </w:t>
      </w:r>
      <w:r w:rsidRPr="00476F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lastRenderedPageBreak/>
        <w:t xml:space="preserve">"POLPHARMA Biuro Handlowe Sp. z o.O." 6, </w:t>
      </w:r>
      <w:r w:rsidRPr="00476F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lastRenderedPageBreak/>
        <w:t>Бобровицкая к-сі, 00-728 Варшава, ПОЛЬША</w:t>
      </w:r>
    </w:p>
    <w:p w:rsidR="005E459E" w:rsidRPr="00476F18" w:rsidRDefault="00476F18" w:rsidP="00476F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5E459E" w:rsidRPr="00476F18">
          <w:type w:val="continuous"/>
          <w:pgSz w:w="11905" w:h="16837"/>
          <w:pgMar w:top="563" w:right="845" w:bottom="1134" w:left="1194" w:header="0" w:footer="0" w:gutter="0"/>
          <w:cols w:space="708"/>
        </w:sectPr>
      </w:pPr>
      <w:r w:rsidRPr="00476F1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Клиникаға дейінгі аспектілер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5E459E" w:rsidRPr="00055C20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Default="005E459E">
            <w:pPr>
              <w:spacing w:after="14" w:line="240" w:lineRule="exact"/>
              <w:rPr>
                <w:sz w:val="24"/>
                <w:szCs w:val="24"/>
              </w:rPr>
            </w:pPr>
          </w:p>
          <w:p w:rsidR="005E459E" w:rsidRDefault="00476F18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Pr="00476F18" w:rsidRDefault="00476F1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59E" w:rsidRPr="00055C20" w:rsidRDefault="005E459E">
            <w:pPr>
              <w:spacing w:after="14" w:line="200" w:lineRule="exact"/>
              <w:rPr>
                <w:sz w:val="20"/>
                <w:szCs w:val="20"/>
                <w:lang w:val="kk-KZ"/>
              </w:rPr>
            </w:pPr>
          </w:p>
          <w:p w:rsidR="005E459E" w:rsidRPr="00055C20" w:rsidRDefault="00476F18" w:rsidP="00476F18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Дәріханадан босату шарттары  дәрігердің рецептісі бойынша  </w:t>
            </w:r>
          </w:p>
        </w:tc>
      </w:tr>
    </w:tbl>
    <w:p w:rsidR="005E459E" w:rsidRPr="00055C20" w:rsidRDefault="005E459E">
      <w:pPr>
        <w:spacing w:after="1" w:line="120" w:lineRule="exact"/>
        <w:rPr>
          <w:sz w:val="12"/>
          <w:szCs w:val="12"/>
          <w:lang w:val="kk-KZ"/>
        </w:rPr>
      </w:pPr>
    </w:p>
    <w:p w:rsidR="005E459E" w:rsidRPr="00055C20" w:rsidRDefault="00476F18">
      <w:pPr>
        <w:widowControl w:val="0"/>
        <w:spacing w:line="244" w:lineRule="auto"/>
        <w:ind w:left="17" w:right="99"/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</w:pP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Осы</w:t>
      </w:r>
      <w:r w:rsidRPr="00055C20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құжат</w:t>
      </w:r>
      <w:r w:rsidRPr="00055C20">
        <w:rPr>
          <w:rFonts w:ascii="Arial" w:eastAsia="Arial" w:hAnsi="Arial" w:cs="Arial"/>
          <w:color w:val="000000"/>
          <w:spacing w:val="1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«Электрондық</w:t>
      </w:r>
      <w:r w:rsidRPr="00055C20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құжат</w:t>
      </w:r>
      <w:r w:rsidRPr="00055C20">
        <w:rPr>
          <w:rFonts w:ascii="Arial" w:eastAsia="Arial" w:hAnsi="Arial" w:cs="Arial"/>
          <w:color w:val="000000"/>
          <w:spacing w:val="1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және</w:t>
      </w:r>
      <w:r w:rsidRPr="00055C20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электрондық</w:t>
      </w:r>
      <w:r w:rsidRPr="00055C20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цифрлық</w:t>
      </w:r>
      <w:r w:rsidRPr="00055C20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қолтаңба</w:t>
      </w:r>
      <w:r w:rsidRPr="00055C20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туралы»</w:t>
      </w:r>
      <w:r w:rsidRPr="00055C20">
        <w:rPr>
          <w:rFonts w:ascii="Arial" w:eastAsia="Arial" w:hAnsi="Arial" w:cs="Arial"/>
          <w:color w:val="000000"/>
          <w:spacing w:val="1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2003</w:t>
      </w:r>
      <w:r w:rsidRPr="00055C20">
        <w:rPr>
          <w:rFonts w:ascii="Arial" w:eastAsia="Arial" w:hAnsi="Arial" w:cs="Arial"/>
          <w:color w:val="000000"/>
          <w:spacing w:val="1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жылғы</w:t>
      </w:r>
      <w:r w:rsidRPr="00055C20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7</w:t>
      </w:r>
      <w:r w:rsidRPr="00055C20">
        <w:rPr>
          <w:rFonts w:ascii="Arial" w:eastAsia="Arial" w:hAnsi="Arial" w:cs="Arial"/>
          <w:color w:val="000000"/>
          <w:spacing w:val="1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қаңтардағы</w:t>
      </w:r>
      <w:r w:rsidRPr="00055C20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Қазақстан</w:t>
      </w:r>
      <w:r w:rsidRPr="00055C20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Республикасының</w:t>
      </w:r>
      <w:r w:rsidRPr="00055C20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N</w:t>
      </w:r>
      <w:r w:rsidRPr="00055C20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370II</w:t>
      </w:r>
      <w:r w:rsidRPr="00055C20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Заңы</w:t>
      </w:r>
      <w:r w:rsidRPr="00055C20">
        <w:rPr>
          <w:rFonts w:ascii="Arial" w:eastAsia="Arial" w:hAnsi="Arial" w:cs="Arial"/>
          <w:color w:val="000000"/>
          <w:spacing w:val="1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7</w:t>
      </w:r>
      <w:r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-</w:t>
      </w:r>
      <w:r w:rsidRPr="00055C20">
        <w:rPr>
          <w:rFonts w:ascii="Arial" w:eastAsia="Arial" w:hAnsi="Arial" w:cs="Arial"/>
          <w:color w:val="000000"/>
          <w:spacing w:val="1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бабының</w:t>
      </w:r>
      <w:r w:rsidRPr="00055C20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1</w:t>
      </w:r>
      <w:r>
        <w:rPr>
          <w:rFonts w:ascii="Arial" w:eastAsia="Arial" w:hAnsi="Arial" w:cs="Arial"/>
          <w:color w:val="000000"/>
          <w:sz w:val="15"/>
          <w:szCs w:val="15"/>
          <w:lang w:val="kk-KZ"/>
        </w:rPr>
        <w:t>-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тармағына</w:t>
      </w:r>
      <w:r w:rsidRPr="00055C20">
        <w:rPr>
          <w:rFonts w:ascii="Arial" w:eastAsia="Arial" w:hAnsi="Arial" w:cs="Arial"/>
          <w:color w:val="000000"/>
          <w:spacing w:val="1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сәйкес</w:t>
      </w:r>
      <w:r w:rsidRPr="00055C20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қағаз</w:t>
      </w:r>
      <w:r w:rsidRPr="00055C20">
        <w:rPr>
          <w:rFonts w:ascii="Arial" w:eastAsia="Arial" w:hAnsi="Arial" w:cs="Arial"/>
          <w:color w:val="000000"/>
          <w:spacing w:val="1"/>
          <w:sz w:val="15"/>
          <w:szCs w:val="15"/>
          <w:lang w:val="kk-KZ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 xml:space="preserve">жеткізгіште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құжатпен</w:t>
      </w:r>
      <w:r w:rsidRPr="00055C20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055C20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бірдей.</w:t>
      </w:r>
    </w:p>
    <w:p w:rsidR="005E459E" w:rsidRDefault="00476F18">
      <w:pPr>
        <w:widowControl w:val="0"/>
        <w:spacing w:before="51" w:line="244" w:lineRule="auto"/>
        <w:ind w:left="17" w:right="233"/>
        <w:rPr>
          <w:rFonts w:ascii="Arial" w:eastAsia="Arial" w:hAnsi="Arial" w:cs="Arial"/>
          <w:color w:val="000000"/>
          <w:w w:val="102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87" behindDoc="1" locked="0" layoutInCell="0" allowOverlap="1">
                <wp:simplePos x="0" y="0"/>
                <wp:positionH relativeFrom="page">
                  <wp:posOffset>719963</wp:posOffset>
                </wp:positionH>
                <wp:positionV relativeFrom="paragraph">
                  <wp:posOffset>328167</wp:posOffset>
                </wp:positionV>
                <wp:extent cx="5675121" cy="1124711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121" cy="1124711"/>
                          <a:chOff x="0" y="0"/>
                          <a:chExt cx="5675121" cy="112471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137666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275204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12871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4550409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Данный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документ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согласно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пункту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1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статьи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7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ЗРК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от</w:t>
      </w:r>
      <w:r>
        <w:rPr>
          <w:rFonts w:ascii="Arial" w:eastAsia="Arial" w:hAnsi="Arial" w:cs="Arial"/>
          <w:color w:val="00000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7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января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2003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года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N370-II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«Об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электронном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документе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электронной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цифровой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подписи»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равнозначен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документу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на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бумажном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носителе.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5E459E" w:rsidRPr="00255AFB" w:rsidRDefault="00476F18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255AFB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5E459E" w:rsidRPr="00255AFB" w:rsidRDefault="00476F18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255AFB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5E459E" w:rsidRPr="00255AFB" w:rsidRDefault="00055C20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10">
                              <w:r w:rsidR="00476F18" w:rsidRPr="00255AFB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" o:spid="_x0000_s1027" type="#_x0000_t202" style="position:absolute;left:0;text-align:left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" o:allowincell="f" stroked="f">
                <v:textbox>
                  <w:txbxContent>
                    <w:p w:rsidR="005E459E" w:rsidRPr="00255AFB" w:rsidRDefault="00476F18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255AFB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5E459E" w:rsidRPr="00255AFB" w:rsidRDefault="00476F18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255AFB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5E459E" w:rsidRPr="00255AFB" w:rsidRDefault="00055C20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11">
                        <w:r w:rsidR="00476F18" w:rsidRPr="00255AFB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E459E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9E"/>
    <w:rsid w:val="00055C20"/>
    <w:rsid w:val="001A6DA5"/>
    <w:rsid w:val="00255AFB"/>
    <w:rsid w:val="00476F18"/>
    <w:rsid w:val="005E459E"/>
    <w:rsid w:val="006638BA"/>
    <w:rsid w:val="00B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sautinsoft.com/products/pdf-focus/order.ph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Н. Косыбаева</dc:creator>
  <cp:lastModifiedBy>Айгерим Н. Косыбаева</cp:lastModifiedBy>
  <cp:revision>2</cp:revision>
  <dcterms:created xsi:type="dcterms:W3CDTF">2020-11-03T09:41:00Z</dcterms:created>
  <dcterms:modified xsi:type="dcterms:W3CDTF">2020-11-03T09:41:00Z</dcterms:modified>
</cp:coreProperties>
</file>