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8" w:rsidRPr="00E246C2" w:rsidRDefault="003C7A58" w:rsidP="003C7A58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3C7A58" w:rsidRPr="00E246C2" w:rsidRDefault="003C7A58" w:rsidP="003C7A5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7A58" w:rsidRPr="00E246C2" w:rsidRDefault="003C7A58" w:rsidP="003C7A58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C7A58" w:rsidRPr="00E246C2" w:rsidRDefault="003C7A58" w:rsidP="003C7A58">
      <w:pPr>
        <w:rPr>
          <w:rFonts w:ascii="Times New Roman" w:hAnsi="Times New Roman" w:cs="Times New Roman"/>
          <w:sz w:val="28"/>
          <w:szCs w:val="28"/>
        </w:rPr>
        <w:sectPr w:rsidR="003C7A58" w:rsidRPr="00E246C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3C7A58" w:rsidRPr="00E246C2" w:rsidRDefault="003C7A58" w:rsidP="003C7A58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24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3C7A58" w:rsidRPr="00E246C2" w:rsidRDefault="003C7A58" w:rsidP="003C7A58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6C2">
        <w:rPr>
          <w:rFonts w:ascii="Times New Roman" w:hAnsi="Times New Roman" w:cs="Times New Roman"/>
          <w:sz w:val="28"/>
          <w:szCs w:val="28"/>
        </w:rPr>
        <w:br w:type="column"/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24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E24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3C7A58" w:rsidRPr="00E246C2" w:rsidRDefault="003C7A58" w:rsidP="003C7A58">
      <w:pPr>
        <w:rPr>
          <w:rFonts w:ascii="Times New Roman" w:hAnsi="Times New Roman" w:cs="Times New Roman"/>
          <w:sz w:val="28"/>
          <w:szCs w:val="28"/>
        </w:rPr>
        <w:sectPr w:rsidR="003C7A58" w:rsidRPr="00E246C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3C7A58" w:rsidRPr="00E246C2" w:rsidRDefault="003C7A58" w:rsidP="003C7A58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3C7A58" w:rsidRPr="00E246C2" w:rsidRDefault="003C7A58" w:rsidP="003C7A5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E246C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E616C2" w:rsidRDefault="0091205F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1" behindDoc="1" locked="0" layoutInCell="0" allowOverlap="1" wp14:anchorId="0B600055" wp14:editId="7CF96CAE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E616C2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Default="003C7A5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Default="00E616C2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616C2" w:rsidRPr="003C7A58" w:rsidRDefault="003C7A58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Транексам</w:t>
                                  </w:r>
                                  <w:proofErr w:type="spellEnd"/>
                                  <w:r w:rsidR="0091205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>қышқылы</w:t>
                                  </w:r>
                                </w:p>
                              </w:tc>
                            </w:tr>
                            <w:tr w:rsidR="00E616C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Default="003C7A58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Pr="003C7A58" w:rsidRDefault="0091205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мф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gramEnd"/>
                                  <w:r w:rsidR="003C7A58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</w:p>
                              </w:tc>
                            </w:tr>
                            <w:tr w:rsidR="00E616C2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Pr="003C7A58" w:rsidRDefault="003C7A58" w:rsidP="003C7A58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616C2" w:rsidRPr="003C7A58" w:rsidRDefault="003C7A58" w:rsidP="003C7A58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  <w:lang w:val="kk-KZ"/>
                                    </w:rPr>
                                    <w:t>ҚАЗАҚСТАН</w:t>
                                  </w:r>
                                </w:p>
                              </w:tc>
                            </w:tr>
                          </w:tbl>
                          <w:p w:rsidR="00A53D6F" w:rsidRDefault="00A53D6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E616C2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Default="003C7A5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Default="00E616C2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616C2" w:rsidRPr="003C7A58" w:rsidRDefault="003C7A58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Транексам</w:t>
                            </w:r>
                            <w:proofErr w:type="spellEnd"/>
                            <w:r w:rsidR="009120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>қышқылы</w:t>
                            </w:r>
                          </w:p>
                        </w:tc>
                      </w:tr>
                      <w:tr w:rsidR="00E616C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Default="003C7A58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Pr="003C7A58" w:rsidRDefault="0091205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мф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proofErr w:type="gramEnd"/>
                            <w:r w:rsidR="003C7A5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</w:p>
                        </w:tc>
                      </w:tr>
                      <w:tr w:rsidR="00E616C2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Pr="003C7A58" w:rsidRDefault="003C7A58" w:rsidP="003C7A58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616C2" w:rsidRPr="003C7A58" w:rsidRDefault="003C7A58" w:rsidP="003C7A58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  <w:lang w:val="kk-KZ"/>
                              </w:rPr>
                              <w:t>ҚАЗАҚСТАН</w:t>
                            </w:r>
                          </w:p>
                        </w:tc>
                      </w:tr>
                    </w:tbl>
                    <w:p w:rsidR="00A53D6F" w:rsidRDefault="00A53D6F"/>
                  </w:txbxContent>
                </v:textbox>
                <w10:wrap anchorx="page"/>
              </v:shape>
            </w:pict>
          </mc:Fallback>
        </mc:AlternateContent>
      </w:r>
      <w:r w:rsidR="003C7A58" w:rsidRPr="003C7A58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3C7A58" w:rsidRPr="00E246C2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3C7A58" w:rsidRPr="00E246C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E616C2" w:rsidRDefault="00E616C2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E616C2" w:rsidRDefault="0091205F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C7A58" w:rsidRPr="00E24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E616C2" w:rsidRDefault="00E616C2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E616C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9120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3C7A58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E616C2" w:rsidRDefault="00E616C2">
      <w:pPr>
        <w:spacing w:after="3" w:line="220" w:lineRule="exact"/>
      </w:pPr>
    </w:p>
    <w:p w:rsidR="00E616C2" w:rsidRDefault="0091205F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C7A58" w:rsidRPr="00E246C2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E616C2" w:rsidRDefault="00E616C2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E616C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9120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3C7A58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E616C2">
        <w:trPr>
          <w:cantSplit/>
          <w:trHeight w:hRule="exact" w:val="40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after="13" w:line="180" w:lineRule="exact"/>
              <w:rPr>
                <w:sz w:val="18"/>
                <w:szCs w:val="18"/>
              </w:rPr>
            </w:pPr>
          </w:p>
          <w:p w:rsidR="00E616C2" w:rsidRDefault="0091205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3C7A58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3C7A58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69"/>
                <w:tab w:val="left" w:pos="2871"/>
                <w:tab w:val="left" w:pos="3307"/>
                <w:tab w:val="left" w:pos="3803"/>
                <w:tab w:val="left" w:pos="4111"/>
                <w:tab w:val="left" w:pos="4562"/>
                <w:tab w:val="left" w:pos="5044"/>
                <w:tab w:val="left" w:pos="5447"/>
                <w:tab w:val="left" w:pos="607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транексам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EDQM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берген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Еуропалық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фармакопея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монографиясының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(СЕР)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қолданыстағы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сәйкесті</w:t>
            </w:r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сертификаты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</w:t>
            </w:r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ынылған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әне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616C2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line="240" w:lineRule="exact"/>
              <w:rPr>
                <w:sz w:val="24"/>
                <w:szCs w:val="24"/>
              </w:rPr>
            </w:pPr>
          </w:p>
          <w:p w:rsidR="00E616C2" w:rsidRDefault="00E616C2">
            <w:pPr>
              <w:spacing w:after="7" w:line="240" w:lineRule="exact"/>
              <w:rPr>
                <w:sz w:val="24"/>
                <w:szCs w:val="24"/>
              </w:rPr>
            </w:pPr>
          </w:p>
          <w:p w:rsidR="00E616C2" w:rsidRDefault="0091205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3C7A58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E246C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>
            <w:pPr>
              <w:spacing w:after="14" w:line="200" w:lineRule="exact"/>
              <w:rPr>
                <w:sz w:val="20"/>
                <w:szCs w:val="20"/>
              </w:rPr>
            </w:pPr>
          </w:p>
          <w:p w:rsidR="00E616C2" w:rsidRDefault="003C7A58" w:rsidP="003C7A58">
            <w:pPr>
              <w:widowControl w:val="0"/>
              <w:spacing w:line="240" w:lineRule="auto"/>
              <w:ind w:left="60" w:right="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</w:t>
            </w:r>
            <w:proofErr w:type="gram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C7A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E616C2" w:rsidRDefault="00E616C2">
      <w:pPr>
        <w:sectPr w:rsidR="00E616C2">
          <w:type w:val="continuous"/>
          <w:pgSz w:w="11905" w:h="16837"/>
          <w:pgMar w:top="563" w:right="850" w:bottom="63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E616C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9120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6A655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912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91205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9120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91205F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912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E616C2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6A655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6A6555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пен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</w:t>
            </w:r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proofErr w:type="spellEnd"/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E616C2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6A655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555" w:rsidRPr="006A6555" w:rsidRDefault="006A6555" w:rsidP="006A655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ЕФ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ICH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басшылық 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6555" w:rsidRPr="006A6555" w:rsidRDefault="006A6555" w:rsidP="006A655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6A6555" w:rsidRPr="006A6555" w:rsidRDefault="006A6555" w:rsidP="006A655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6A6555" w:rsidRPr="006A6555" w:rsidRDefault="006A6555" w:rsidP="006A6555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616C2" w:rsidRDefault="006A6555" w:rsidP="006A6555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</w:t>
            </w:r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E616C2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E616C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6C2" w:rsidRDefault="006A655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246C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Бастапқы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қаптама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деректерге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</w:t>
            </w:r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</w:t>
            </w:r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імді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болуы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тиіс</w:t>
            </w:r>
            <w:proofErr w:type="spellEnd"/>
            <w:proofErr w:type="gram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6A6555" w:rsidRPr="006A6555" w:rsidRDefault="006A6555" w:rsidP="006A655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E616C2" w:rsidRDefault="006A6555" w:rsidP="006A6555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A655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E616C2" w:rsidRDefault="00E616C2">
      <w:pPr>
        <w:sectPr w:rsidR="00E616C2">
          <w:pgSz w:w="11905" w:h="16837"/>
          <w:pgMar w:top="560" w:right="850" w:bottom="1134" w:left="1133" w:header="0" w:footer="0" w:gutter="0"/>
          <w:cols w:space="708"/>
        </w:sectPr>
      </w:pPr>
    </w:p>
    <w:p w:rsidR="00E616C2" w:rsidRDefault="006A65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Клиника</w:t>
      </w:r>
      <w:proofErr w:type="gram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ға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дейінгі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аспектілер</w:t>
      </w:r>
      <w:proofErr w:type="spellEnd"/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E616C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91205F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1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-1405050</wp:posOffset>
                </wp:positionV>
                <wp:extent cx="6264020" cy="894613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8946134"/>
                          <a:chOff x="0" y="0"/>
                          <a:chExt cx="6264020" cy="894613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32054" cy="298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2988056">
                                <a:moveTo>
                                  <a:pt x="0" y="2988056"/>
                                </a:moveTo>
                                <a:lnTo>
                                  <a:pt x="432054" y="2988056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80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1871979" cy="298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988056">
                                <a:moveTo>
                                  <a:pt x="0" y="2988056"/>
                                </a:moveTo>
                                <a:lnTo>
                                  <a:pt x="1871979" y="2988056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80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304033" y="0"/>
                            <a:ext cx="3959986" cy="298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2988056">
                                <a:moveTo>
                                  <a:pt x="0" y="2988056"/>
                                </a:moveTo>
                                <a:lnTo>
                                  <a:pt x="3959986" y="2988056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80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988183"/>
                            <a:ext cx="432054" cy="200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2008759">
                                <a:moveTo>
                                  <a:pt x="0" y="2008759"/>
                                </a:moveTo>
                                <a:lnTo>
                                  <a:pt x="432054" y="2008759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8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054" y="2988183"/>
                            <a:ext cx="1871979" cy="200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008759">
                                <a:moveTo>
                                  <a:pt x="0" y="2008759"/>
                                </a:moveTo>
                                <a:lnTo>
                                  <a:pt x="1871979" y="2008759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8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304033" y="2988183"/>
                            <a:ext cx="3959986" cy="200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2008759">
                                <a:moveTo>
                                  <a:pt x="0" y="2008759"/>
                                </a:moveTo>
                                <a:lnTo>
                                  <a:pt x="3959986" y="2008759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8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996942"/>
                            <a:ext cx="432054" cy="285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2851150">
                                <a:moveTo>
                                  <a:pt x="0" y="2851150"/>
                                </a:moveTo>
                                <a:lnTo>
                                  <a:pt x="432054" y="2851150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32054" y="4996942"/>
                            <a:ext cx="1871979" cy="285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851150">
                                <a:moveTo>
                                  <a:pt x="0" y="2851150"/>
                                </a:moveTo>
                                <a:lnTo>
                                  <a:pt x="1871979" y="2851150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04033" y="4996942"/>
                            <a:ext cx="3959986" cy="285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2851150">
                                <a:moveTo>
                                  <a:pt x="0" y="2851150"/>
                                </a:moveTo>
                                <a:lnTo>
                                  <a:pt x="3959986" y="2851150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1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848093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2054" y="7848093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7848093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2054" y="7848093"/>
                            <a:ext cx="5831966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966" h="216026">
                                <a:moveTo>
                                  <a:pt x="0" y="216026"/>
                                </a:moveTo>
                                <a:lnTo>
                                  <a:pt x="5831966" y="216026"/>
                                </a:lnTo>
                                <a:lnTo>
                                  <a:pt x="5831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06411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32054" y="806411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32054" y="8064119"/>
                            <a:ext cx="1871979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665988">
                                <a:moveTo>
                                  <a:pt x="0" y="665988"/>
                                </a:moveTo>
                                <a:lnTo>
                                  <a:pt x="1871979" y="665988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04033" y="806411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264020" y="8064119"/>
                            <a:ext cx="0" cy="66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5988">
                                <a:moveTo>
                                  <a:pt x="0" y="665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304033" y="8064119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730107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32054" y="8730107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946134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32054" y="8730107"/>
                            <a:ext cx="1871979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216027">
                                <a:moveTo>
                                  <a:pt x="0" y="216027"/>
                                </a:moveTo>
                                <a:lnTo>
                                  <a:pt x="1871979" y="216027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304033" y="8730107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64020" y="8730107"/>
                            <a:ext cx="0" cy="2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7">
                                <a:moveTo>
                                  <a:pt x="0" y="216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04033" y="8946134"/>
                            <a:ext cx="3959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>
                                <a:moveTo>
                                  <a:pt x="0" y="0"/>
                                </a:moveTo>
                                <a:lnTo>
                                  <a:pt x="3959986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2.2</w:t>
      </w:r>
    </w:p>
    <w:p w:rsidR="00E616C2" w:rsidRDefault="0091205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E616C2" w:rsidRDefault="006A6555">
      <w:pPr>
        <w:sectPr w:rsidR="00E616C2">
          <w:pgSz w:w="11905" w:h="16837"/>
          <w:pgMar w:top="563" w:right="831" w:bottom="1134" w:left="1150" w:header="0" w:footer="0" w:gutter="0"/>
          <w:cols w:num="2" w:space="708" w:equalWidth="0">
            <w:col w:w="3143" w:space="528"/>
            <w:col w:w="6252" w:space="0"/>
          </w:cols>
        </w:sectPr>
      </w:pP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Қайта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өндірілген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бір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компонентті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препарат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ретінде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мәлімделген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,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өзінің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клиникаға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дейінгі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зерттеулерінің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proofErr w:type="gram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proofErr w:type="gram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әтижелерін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ұсыну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ҚР ДСМ №736 </w:t>
      </w:r>
      <w:proofErr w:type="spellStart"/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бұйрығы</w:t>
      </w:r>
      <w:proofErr w:type="spellEnd"/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ның </w:t>
      </w:r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4-қосымша</w:t>
      </w:r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сы</w:t>
      </w:r>
      <w:proofErr w:type="spellStart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ның</w:t>
      </w:r>
      <w:proofErr w:type="spellEnd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2.2-тармағына </w:t>
      </w:r>
      <w:proofErr w:type="spellStart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сәйкес</w:t>
      </w:r>
      <w:proofErr w:type="spellEnd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талап</w:t>
      </w:r>
      <w:proofErr w:type="spellEnd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етілмейді</w:t>
      </w:r>
      <w:proofErr w:type="spellEnd"/>
      <w:r w:rsidR="00B912B1"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«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референттік препаратпен салыстырылатын концентрацияларда бірдей немесе ұқсас қосалқы заттары бар референттік препарат сияқты белсенді заттың бірдей сапалық және сандық құрамы бар сулы ерітінділер түрінде</w:t>
      </w:r>
      <w:r w:rsid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»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 xml:space="preserve"> парентералдық қолдануға арналған дәрілік заттар. </w:t>
      </w:r>
      <w:proofErr w:type="spellStart"/>
      <w:proofErr w:type="gram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Клиника</w:t>
      </w:r>
      <w:proofErr w:type="gram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ға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дейінгі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мәліметтер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бойынша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әдебиеттерге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шолу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жасалды</w:t>
      </w:r>
      <w:proofErr w:type="spellEnd"/>
      <w:r w:rsidRPr="006A655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</w:p>
    <w:p w:rsidR="00E616C2" w:rsidRDefault="00E616C2">
      <w:pPr>
        <w:spacing w:after="12" w:line="200" w:lineRule="exact"/>
        <w:rPr>
          <w:sz w:val="20"/>
          <w:szCs w:val="20"/>
        </w:rPr>
      </w:pPr>
    </w:p>
    <w:p w:rsidR="00E616C2" w:rsidRDefault="00B912B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Ескерту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: </w:t>
      </w:r>
      <w:proofErr w:type="spellStart"/>
      <w:proofErr w:type="gram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клиника</w:t>
      </w:r>
      <w:proofErr w:type="gram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ға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дейінгі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және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клиникалық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зерттеулер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бойынша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библиографиялық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дереккөздердің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көшірмелерін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ұсыну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;</w:t>
      </w:r>
    </w:p>
    <w:p w:rsidR="00E616C2" w:rsidRDefault="00E616C2">
      <w:pPr>
        <w:sectPr w:rsidR="00E616C2">
          <w:type w:val="continuous"/>
          <w:pgSz w:w="11905" w:h="16837"/>
          <w:pgMar w:top="563" w:right="831" w:bottom="1134" w:left="1150" w:header="0" w:footer="0" w:gutter="0"/>
          <w:cols w:space="708"/>
        </w:sectPr>
      </w:pPr>
    </w:p>
    <w:p w:rsidR="00B912B1" w:rsidRDefault="00B912B1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B912B1" w:rsidRDefault="00B912B1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B912B1" w:rsidRDefault="00B912B1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B912B1" w:rsidRDefault="00B912B1">
      <w:pPr>
        <w:widowControl w:val="0"/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val="kk-KZ"/>
        </w:rPr>
      </w:pPr>
    </w:p>
    <w:p w:rsidR="00E616C2" w:rsidRPr="00B912B1" w:rsidRDefault="00B912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л</w:t>
      </w: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и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и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калық</w:t>
      </w: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а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п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ек</w:t>
      </w:r>
      <w:r w:rsidRPr="00B912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ілер</w:t>
      </w: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616C2" w:rsidRPr="00B912B1" w:rsidRDefault="00E616C2">
      <w:pPr>
        <w:spacing w:after="1" w:line="220" w:lineRule="exact"/>
        <w:rPr>
          <w:rFonts w:ascii="Times New Roman" w:eastAsia="Times New Roman" w:hAnsi="Times New Roman" w:cs="Times New Roman"/>
          <w:lang w:val="kk-KZ"/>
        </w:rPr>
      </w:pPr>
    </w:p>
    <w:p w:rsidR="00E616C2" w:rsidRPr="00B912B1" w:rsidRDefault="0091205F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2.3</w:t>
      </w:r>
    </w:p>
    <w:p w:rsidR="00E616C2" w:rsidRPr="00B912B1" w:rsidRDefault="0091205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912B1">
        <w:rPr>
          <w:lang w:val="kk-KZ"/>
        </w:rPr>
        <w:br w:type="column"/>
      </w:r>
    </w:p>
    <w:p w:rsidR="00B912B1" w:rsidRDefault="00B912B1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</w:pPr>
    </w:p>
    <w:p w:rsidR="00B912B1" w:rsidRDefault="00B912B1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</w:pPr>
    </w:p>
    <w:p w:rsidR="00B912B1" w:rsidRDefault="00B912B1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</w:pPr>
    </w:p>
    <w:p w:rsidR="00E616C2" w:rsidRPr="00B912B1" w:rsidRDefault="00B912B1">
      <w:pPr>
        <w:rPr>
          <w:lang w:val="kk-KZ"/>
        </w:rPr>
        <w:sectPr w:rsidR="00E616C2" w:rsidRPr="00B912B1">
          <w:type w:val="continuous"/>
          <w:pgSz w:w="11905" w:h="16837"/>
          <w:pgMar w:top="563" w:right="831" w:bottom="1134" w:left="1150" w:header="0" w:footer="0" w:gutter="0"/>
          <w:cols w:num="2" w:space="708" w:equalWidth="0">
            <w:col w:w="2913" w:space="759"/>
            <w:col w:w="6252" w:space="0"/>
          </w:cols>
        </w:sectPr>
      </w:pP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ҚР ДСМ №736 бұйрығы 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4-қосымшаның 2.2-тармағына сәйкес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«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референттік препаратпен салыстырылатын концентрацияларда бірдей немесе ұқсас қосалқы заттары бар референттік препарат сияқты белсенді заттың бірдей сапалық және сандық құрамы бар сулы ерітінділер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»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 түрінде парентералдық қо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лдануға арналған дәрілік заттарға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дербес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 клиникалық зерттеулердің нәтижелерін ұсыну талап етілмейді.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 xml:space="preserve"> </w:t>
      </w:r>
      <w:r w:rsidRPr="00B912B1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val="kk-KZ"/>
        </w:rPr>
        <w:t>Клиникалық мәліметтер бойынша әдебиеттерге шолу жасалды.</w:t>
      </w:r>
    </w:p>
    <w:p w:rsidR="00E616C2" w:rsidRPr="00B912B1" w:rsidRDefault="00E616C2">
      <w:pPr>
        <w:spacing w:after="64" w:line="240" w:lineRule="exact"/>
        <w:rPr>
          <w:sz w:val="24"/>
          <w:szCs w:val="24"/>
          <w:lang w:val="kk-KZ"/>
        </w:rPr>
      </w:pPr>
    </w:p>
    <w:p w:rsidR="00B912B1" w:rsidRDefault="00B912B1">
      <w:pPr>
        <w:widowControl w:val="0"/>
        <w:tabs>
          <w:tab w:val="left" w:pos="3672"/>
        </w:tabs>
        <w:spacing w:line="240" w:lineRule="auto"/>
        <w:ind w:left="724" w:right="-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</w:pPr>
    </w:p>
    <w:p w:rsidR="00E616C2" w:rsidRPr="00B912B1" w:rsidRDefault="00B912B1" w:rsidP="00B912B1">
      <w:pPr>
        <w:widowControl w:val="0"/>
        <w:tabs>
          <w:tab w:val="left" w:pos="3672"/>
        </w:tabs>
        <w:spacing w:line="240" w:lineRule="auto"/>
        <w:ind w:left="724" w:right="-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Пайда-қауіпті бағалау</w:t>
      </w:r>
      <w:r w:rsidR="0091205F" w:rsidRPr="00B912B1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ab/>
      </w:r>
      <w:r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Пайда / қауіп бағасын ескере отырып, препарат ұсынылмайды:</w:t>
      </w:r>
    </w:p>
    <w:p w:rsidR="00E616C2" w:rsidRPr="00B912B1" w:rsidRDefault="00E616C2">
      <w:pPr>
        <w:spacing w:after="17" w:line="22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rPr>
          <w:sz w:val="20"/>
          <w:szCs w:val="20"/>
          <w:lang w:val="kk-KZ"/>
        </w:rPr>
        <w:sectPr w:rsidR="00E616C2" w:rsidRPr="00B912B1">
          <w:type w:val="continuous"/>
          <w:pgSz w:w="11905" w:h="16837"/>
          <w:pgMar w:top="563" w:right="831" w:bottom="1134" w:left="1150" w:header="0" w:footer="0" w:gutter="0"/>
          <w:cols w:space="708"/>
        </w:sectPr>
      </w:pPr>
    </w:p>
    <w:p w:rsidR="00E616C2" w:rsidRPr="00B912B1" w:rsidRDefault="00E616C2">
      <w:pPr>
        <w:spacing w:line="240" w:lineRule="exact"/>
        <w:rPr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sz w:val="20"/>
          <w:szCs w:val="20"/>
          <w:lang w:val="kk-KZ"/>
        </w:rPr>
      </w:pPr>
    </w:p>
    <w:p w:rsidR="00E616C2" w:rsidRPr="00B912B1" w:rsidRDefault="00E616C2">
      <w:pPr>
        <w:spacing w:after="7" w:line="160" w:lineRule="exact"/>
        <w:rPr>
          <w:sz w:val="20"/>
          <w:szCs w:val="20"/>
          <w:lang w:val="kk-KZ"/>
        </w:rPr>
      </w:pPr>
    </w:p>
    <w:p w:rsidR="00E616C2" w:rsidRPr="00B912B1" w:rsidRDefault="0091205F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2.4</w:t>
      </w: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616C2" w:rsidRPr="00B912B1" w:rsidRDefault="00E616C2">
      <w:pPr>
        <w:spacing w:after="17" w:line="180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B912B1" w:rsidRDefault="0091205F">
      <w:pPr>
        <w:widowControl w:val="0"/>
        <w:tabs>
          <w:tab w:val="left" w:pos="724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2.5</w:t>
      </w:r>
      <w:r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</w:p>
    <w:p w:rsidR="00E616C2" w:rsidRPr="00B912B1" w:rsidRDefault="00B912B1">
      <w:pPr>
        <w:widowControl w:val="0"/>
        <w:tabs>
          <w:tab w:val="left" w:pos="724"/>
        </w:tabs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ab/>
      </w:r>
      <w:r w:rsidR="0091205F" w:rsidRPr="00B912B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Ф</w:t>
      </w:r>
      <w:r w:rsidR="0091205F"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ар</w:t>
      </w:r>
      <w:r w:rsidR="0091205F" w:rsidRPr="00B912B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м</w:t>
      </w:r>
      <w:r w:rsidR="0091205F" w:rsidRPr="00B912B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</w:t>
      </w:r>
      <w:r w:rsidR="0091205F" w:rsidRPr="00B912B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логиялық қадағалау</w:t>
      </w:r>
    </w:p>
    <w:p w:rsidR="00B912B1" w:rsidRPr="00E246C2" w:rsidRDefault="00B912B1" w:rsidP="00B912B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Фармакологиялық </w:t>
      </w:r>
    </w:p>
    <w:p w:rsidR="00B912B1" w:rsidRPr="00E246C2" w:rsidRDefault="00B912B1" w:rsidP="00B912B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қадағалау жүйесінің сипаттамасы</w:t>
      </w:r>
    </w:p>
    <w:p w:rsidR="00B912B1" w:rsidRPr="00B912B1" w:rsidRDefault="0091205F" w:rsidP="00B912B1">
      <w:pPr>
        <w:widowControl w:val="0"/>
        <w:tabs>
          <w:tab w:val="left" w:pos="1286"/>
          <w:tab w:val="left" w:pos="2673"/>
          <w:tab w:val="left" w:pos="3487"/>
          <w:tab w:val="left" w:pos="5843"/>
        </w:tabs>
        <w:spacing w:line="240" w:lineRule="auto"/>
        <w:ind w:left="575" w:right="-3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912B1">
        <w:rPr>
          <w:sz w:val="20"/>
          <w:szCs w:val="20"/>
          <w:lang w:val="kk-KZ"/>
        </w:rPr>
        <w:br w:type="column"/>
      </w:r>
      <w:r w:rsidR="00B912B1"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lastRenderedPageBreak/>
        <w:t>6.1-бөлімде аталған әсер етуші затқа немесе көмекші заттардың кез келгеніне аса жоғары сезімталдық</w:t>
      </w:r>
    </w:p>
    <w:p w:rsidR="00B912B1" w:rsidRPr="00B912B1" w:rsidRDefault="00B912B1" w:rsidP="00B912B1">
      <w:pPr>
        <w:widowControl w:val="0"/>
        <w:tabs>
          <w:tab w:val="left" w:pos="1286"/>
          <w:tab w:val="left" w:pos="2673"/>
          <w:tab w:val="left" w:pos="3487"/>
          <w:tab w:val="left" w:pos="5843"/>
        </w:tabs>
        <w:spacing w:line="240" w:lineRule="auto"/>
        <w:ind w:left="575" w:right="-3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жедел веноздық немесе артериялық тромбоз (4.4-бөлімді қараңыз)</w:t>
      </w:r>
    </w:p>
    <w:p w:rsidR="00B912B1" w:rsidRPr="00B912B1" w:rsidRDefault="00B912B1" w:rsidP="00B912B1">
      <w:pPr>
        <w:widowControl w:val="0"/>
        <w:tabs>
          <w:tab w:val="left" w:pos="1286"/>
          <w:tab w:val="left" w:pos="2673"/>
          <w:tab w:val="left" w:pos="3487"/>
          <w:tab w:val="left" w:pos="5843"/>
        </w:tabs>
        <w:spacing w:line="240" w:lineRule="auto"/>
        <w:ind w:left="575" w:right="-3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ҚС ауыр қан кету кезінде фибринолитикалық жүйенің активтенуі арқылы қоспағанда, сарқылу салдарынан коагулопатиядан кейінгі фибринолитикалық жай-күйлер (4.4-бөлімді қараңыз)</w:t>
      </w:r>
    </w:p>
    <w:p w:rsidR="00B912B1" w:rsidRPr="00EA6E09" w:rsidRDefault="00B912B1" w:rsidP="00B912B1">
      <w:pPr>
        <w:widowControl w:val="0"/>
        <w:tabs>
          <w:tab w:val="left" w:pos="1286"/>
          <w:tab w:val="left" w:pos="2673"/>
          <w:tab w:val="left" w:pos="3487"/>
          <w:tab w:val="left" w:pos="5843"/>
        </w:tabs>
        <w:spacing w:line="240" w:lineRule="auto"/>
        <w:ind w:left="575" w:right="-3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  <w:r w:rsidRPr="00EA6E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>ауыр бүйрек</w:t>
      </w:r>
      <w:r w:rsidR="00EA6E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функциясының </w:t>
      </w:r>
      <w:r w:rsidRPr="00EA6E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жеткіліксіздігі </w:t>
      </w:r>
      <w:r w:rsidR="00EA6E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ауру тарихындағы </w:t>
      </w:r>
      <w:bookmarkStart w:id="0" w:name="_GoBack"/>
      <w:bookmarkEnd w:id="0"/>
      <w:r w:rsidRPr="00EA6E0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  <w:t xml:space="preserve"> құрысулар</w:t>
      </w:r>
    </w:p>
    <w:p w:rsidR="00E616C2" w:rsidRPr="00B912B1" w:rsidRDefault="00B912B1" w:rsidP="00B912B1">
      <w:pPr>
        <w:widowControl w:val="0"/>
        <w:tabs>
          <w:tab w:val="left" w:pos="1286"/>
          <w:tab w:val="left" w:pos="2673"/>
          <w:tab w:val="left" w:pos="3487"/>
          <w:tab w:val="left" w:pos="5843"/>
        </w:tabs>
        <w:spacing w:line="240" w:lineRule="auto"/>
        <w:ind w:left="575" w:right="-3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интратекальді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және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интравентрикулярлық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инъекция,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интрацеребральді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енгізу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мидың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даму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қаупі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және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құрысулар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).</w:t>
      </w:r>
    </w:p>
    <w:p w:rsidR="00E616C2" w:rsidRDefault="00E616C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6C2" w:rsidRDefault="00B912B1">
      <w:pPr>
        <w:sectPr w:rsidR="00E616C2">
          <w:type w:val="continuous"/>
          <w:pgSz w:w="11905" w:h="16837"/>
          <w:pgMar w:top="563" w:right="831" w:bottom="1134" w:left="1150" w:header="0" w:footer="0" w:gutter="0"/>
          <w:cols w:num="2" w:space="708" w:equalWidth="0">
            <w:col w:w="2610" w:space="1062"/>
            <w:col w:w="625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ДРУ</w:t>
      </w:r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-дан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фармакологиялық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қадағалау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жүйесінің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қысқаша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сипаттамасы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келтірілген</w:t>
      </w:r>
      <w:proofErr w:type="spellEnd"/>
      <w:r w:rsidRPr="00B912B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.</w:t>
      </w:r>
    </w:p>
    <w:p w:rsidR="00E616C2" w:rsidRDefault="00B912B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lastRenderedPageBreak/>
        <w:t xml:space="preserve">Клиникаға дейінгі 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</w:t>
      </w:r>
      <w:r w:rsidRPr="00E24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E24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246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ілер</w:t>
      </w:r>
    </w:p>
    <w:p w:rsidR="00C42537" w:rsidRDefault="00C42537">
      <w:pPr>
        <w:widowControl w:val="0"/>
        <w:spacing w:line="244" w:lineRule="auto"/>
        <w:ind w:right="118"/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</w:pPr>
    </w:p>
    <w:p w:rsidR="00C42537" w:rsidRDefault="00C42537">
      <w:pPr>
        <w:widowControl w:val="0"/>
        <w:spacing w:line="244" w:lineRule="auto"/>
        <w:ind w:right="118"/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</w:pPr>
    </w:p>
    <w:p w:rsidR="00E616C2" w:rsidRPr="00C42537" w:rsidRDefault="0091205F">
      <w:pPr>
        <w:widowControl w:val="0"/>
        <w:spacing w:line="244" w:lineRule="auto"/>
        <w:ind w:right="118"/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</w:pP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Осы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«Электрондық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және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электрондық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цифрлық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қолтаңба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туралы»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2003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жылғы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7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қаңтардағы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="00C42537"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Қазақстан</w:t>
      </w:r>
      <w:r w:rsidR="00C42537"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="00C42537"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Республикасының</w:t>
      </w:r>
      <w:r w:rsidR="00C42537"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N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370II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Заңы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7</w:t>
      </w:r>
      <w:r w:rsid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>-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бабының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1-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тармағына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сәйкес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қағаз</w:t>
      </w:r>
      <w:r w:rsidRPr="00C42537">
        <w:rPr>
          <w:rFonts w:ascii="Arial" w:eastAsia="Arial" w:hAnsi="Arial" w:cs="Arial"/>
          <w:color w:val="000000"/>
          <w:spacing w:val="1"/>
          <w:sz w:val="15"/>
          <w:szCs w:val="15"/>
          <w:lang w:val="kk-KZ"/>
        </w:rPr>
        <w:t xml:space="preserve"> </w:t>
      </w:r>
      <w:r w:rsid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жеткізгіштегі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құжатпен</w:t>
      </w:r>
      <w:r w:rsidRPr="00C42537">
        <w:rPr>
          <w:rFonts w:ascii="Arial" w:eastAsia="Arial" w:hAnsi="Arial" w:cs="Arial"/>
          <w:color w:val="000000"/>
          <w:sz w:val="15"/>
          <w:szCs w:val="15"/>
          <w:lang w:val="kk-KZ"/>
        </w:rPr>
        <w:t xml:space="preserve"> </w:t>
      </w:r>
      <w:r w:rsidRPr="00C42537">
        <w:rPr>
          <w:rFonts w:ascii="Arial" w:eastAsia="Arial" w:hAnsi="Arial" w:cs="Arial"/>
          <w:color w:val="000000"/>
          <w:w w:val="102"/>
          <w:sz w:val="15"/>
          <w:szCs w:val="15"/>
          <w:lang w:val="kk-KZ"/>
        </w:rPr>
        <w:t>бірдей.</w:t>
      </w:r>
    </w:p>
    <w:p w:rsidR="00E616C2" w:rsidRDefault="0091205F">
      <w:pPr>
        <w:widowControl w:val="0"/>
        <w:spacing w:before="51" w:line="244" w:lineRule="auto"/>
        <w:ind w:right="252"/>
        <w:rPr>
          <w:rFonts w:ascii="Arial" w:eastAsia="Arial" w:hAnsi="Arial" w:cs="Arial"/>
          <w:color w:val="000000"/>
          <w:w w:val="102"/>
          <w:sz w:val="15"/>
          <w:szCs w:val="15"/>
        </w:rPr>
        <w:sectPr w:rsidR="00E616C2">
          <w:type w:val="continuous"/>
          <w:pgSz w:w="11905" w:h="16837"/>
          <w:pgMar w:top="563" w:right="831" w:bottom="1134" w:left="1150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102"/>
          <w:sz w:val="15"/>
          <w:szCs w:val="15"/>
        </w:rPr>
        <w:t>Данный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согласно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пункту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1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статьи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ЗРК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от</w:t>
      </w:r>
      <w:r>
        <w:rPr>
          <w:rFonts w:ascii="Arial" w:eastAsia="Arial" w:hAnsi="Arial" w:cs="Arial"/>
          <w:color w:val="000000"/>
          <w:spacing w:val="44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января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2003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года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N370-II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«Об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электронном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документе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и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электронной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цифровой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подписи»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равнозначен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документу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на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бумажном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02"/>
          <w:sz w:val="15"/>
          <w:szCs w:val="15"/>
        </w:rPr>
        <w:t>носителе.</w:t>
      </w:r>
    </w:p>
    <w:p w:rsidR="00E616C2" w:rsidRDefault="0091205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" behindDoc="1" locked="0" layoutInCell="0" allowOverlap="1">
                <wp:simplePos x="0" y="0"/>
                <wp:positionH relativeFrom="page">
                  <wp:posOffset>719963</wp:posOffset>
                </wp:positionH>
                <wp:positionV relativeFrom="page">
                  <wp:posOffset>365633</wp:posOffset>
                </wp:positionV>
                <wp:extent cx="5675121" cy="112471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616C2" w:rsidRPr="0091205F" w:rsidRDefault="0091205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1205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E616C2" w:rsidRPr="0091205F" w:rsidRDefault="0091205F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91205F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E616C2" w:rsidRPr="0091205F" w:rsidRDefault="00EA6E0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10">
                              <w:r w:rsidR="0091205F" w:rsidRPr="0091205F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" o:allowincell="f" stroked="f">
                <v:textbox>
                  <w:txbxContent>
                    <w:p w:rsidR="00E616C2" w:rsidRPr="0091205F" w:rsidRDefault="0091205F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1205F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E616C2" w:rsidRPr="0091205F" w:rsidRDefault="0091205F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91205F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E616C2" w:rsidRPr="0091205F" w:rsidRDefault="0091205F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11">
                        <w:r w:rsidRPr="0091205F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616C2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C2"/>
    <w:rsid w:val="003C7A58"/>
    <w:rsid w:val="006A6555"/>
    <w:rsid w:val="0091205F"/>
    <w:rsid w:val="00A53D6F"/>
    <w:rsid w:val="00B912B1"/>
    <w:rsid w:val="00C42537"/>
    <w:rsid w:val="00E616C2"/>
    <w:rsid w:val="00E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autinsoft.com/products/pdf-focus/order.ph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689</Words>
  <Characters>5208</Characters>
  <Application>Microsoft Office Word</Application>
  <DocSecurity>0</DocSecurity>
  <Lines>226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2020-07-16T17:39:00Z</dcterms:created>
  <dcterms:modified xsi:type="dcterms:W3CDTF">2020-08-30T18:07:00Z</dcterms:modified>
</cp:coreProperties>
</file>