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81" w:rsidRPr="00846451" w:rsidRDefault="002C0181" w:rsidP="002C0181">
      <w:pPr>
        <w:widowControl w:val="0"/>
        <w:spacing w:line="240" w:lineRule="auto"/>
        <w:ind w:left="-68" w:right="8579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 xml:space="preserve">Күні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val="kk-KZ"/>
        </w:rPr>
        <w:t xml:space="preserve">өр орны </w:t>
      </w:r>
    </w:p>
    <w:p w:rsidR="002C0181" w:rsidRDefault="002C0181" w:rsidP="002C018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181" w:rsidRDefault="002C0181" w:rsidP="002C018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C0181" w:rsidRDefault="002C0181" w:rsidP="002C0181">
      <w:pPr>
        <w:sectPr w:rsidR="002C018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2C0181" w:rsidRDefault="002C0181" w:rsidP="002C0181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  <w:lang w:val="kk-KZ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  <w:t>»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AB5081" w:rsidRDefault="00CF54AA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AB5081" w:rsidRDefault="00AB5081">
      <w:pPr>
        <w:sectPr w:rsidR="00AB5081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AB5081" w:rsidRDefault="00AB5081">
      <w:pPr>
        <w:spacing w:after="16" w:line="140" w:lineRule="exact"/>
        <w:rPr>
          <w:sz w:val="14"/>
          <w:szCs w:val="14"/>
        </w:rPr>
      </w:pPr>
    </w:p>
    <w:p w:rsidR="002C0181" w:rsidRDefault="002C0181" w:rsidP="002C0181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  <w:lang w:val="kk-KZ"/>
        </w:rPr>
        <w:t>Дәрілік препараттың қауіпсіздігі, тиімділігі мен сапасы жөніндегі жиынтық есеп</w:t>
      </w: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AB5081" w:rsidRDefault="00CF54AA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2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AB5081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Default="002C018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Default="00AB5081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B5081" w:rsidRDefault="00CF54AA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зи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Си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с</w:t>
                                  </w:r>
                                  <w:proofErr w:type="spellEnd"/>
                                </w:p>
                              </w:tc>
                            </w:tr>
                            <w:tr w:rsidR="00AB508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Default="002C018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>Өндіруші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Default="00CF54AA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к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д.</w:t>
                                  </w:r>
                                </w:p>
                              </w:tc>
                            </w:tr>
                            <w:tr w:rsidR="00AB5081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Pr="002C0181" w:rsidRDefault="002C018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AB5081" w:rsidRPr="002C0181" w:rsidRDefault="002C018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:rsidR="0086114C" w:rsidRDefault="0086114C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AB5081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Default="002C018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Default="00AB5081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B5081" w:rsidRDefault="00CF54AA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зи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с</w:t>
                            </w:r>
                            <w:proofErr w:type="spellEnd"/>
                          </w:p>
                        </w:tc>
                      </w:tr>
                      <w:tr w:rsidR="00AB508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Default="002C018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>Өндіруші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Default="00CF54AA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к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д.</w:t>
                            </w:r>
                          </w:p>
                        </w:tc>
                      </w:tr>
                      <w:tr w:rsidR="00AB5081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Pr="002C0181" w:rsidRDefault="002C018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AB5081" w:rsidRPr="002C0181" w:rsidRDefault="002C018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kk-K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:rsidR="0086114C" w:rsidRDefault="0086114C"/>
                  </w:txbxContent>
                </v:textbox>
                <w10:wrap anchorx="page"/>
              </v:shape>
            </w:pict>
          </mc:Fallback>
        </mc:AlternateContent>
      </w:r>
      <w:r w:rsidR="002C2B1D" w:rsidRPr="002C2B1D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 xml:space="preserve"> </w:t>
      </w:r>
      <w:r w:rsidR="002C2B1D"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  <w:lang w:val="kk-KZ"/>
        </w:rPr>
        <w:t>Есептен құпия ақпарат жойылды</w:t>
      </w:r>
    </w:p>
    <w:p w:rsidR="00AB5081" w:rsidRDefault="00AB5081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AB5081" w:rsidRDefault="00AB5081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AB5081" w:rsidRDefault="00CF54AA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BD59F0"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  <w:lang w:val="kk-KZ"/>
        </w:rPr>
        <w:t>Рәсімі туралы анықтамалық ақпарат</w:t>
      </w:r>
    </w:p>
    <w:p w:rsidR="00AB5081" w:rsidRDefault="00AB5081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AB5081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BD59F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Мемлекеттік тіркеу кезінде  дәрілік заттың сараптамасын жүргізуге тіркеу құжатын беру</w:t>
            </w:r>
          </w:p>
        </w:tc>
      </w:tr>
    </w:tbl>
    <w:p w:rsidR="00AB5081" w:rsidRDefault="00AB5081">
      <w:pPr>
        <w:spacing w:after="3" w:line="220" w:lineRule="exact"/>
      </w:pPr>
    </w:p>
    <w:p w:rsidR="00AB5081" w:rsidRDefault="00CF54AA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 w:rsidR="00BD59F0"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  <w:lang w:val="kk-KZ"/>
        </w:rPr>
        <w:t>Ғылыми талқылау</w:t>
      </w:r>
    </w:p>
    <w:p w:rsidR="00AB5081" w:rsidRDefault="00AB5081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AB5081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BD59F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 аспектілері</w:t>
            </w:r>
          </w:p>
        </w:tc>
      </w:tr>
      <w:tr w:rsidR="00AB5081">
        <w:trPr>
          <w:cantSplit/>
          <w:trHeight w:hRule="exact" w:val="48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after="110" w:line="240" w:lineRule="exact"/>
              <w:rPr>
                <w:sz w:val="24"/>
                <w:szCs w:val="24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BD59F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 xml:space="preserve">Белсенді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ар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евт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калық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нци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BD59F0">
            <w:pPr>
              <w:widowControl w:val="0"/>
              <w:tabs>
                <w:tab w:val="left" w:pos="495"/>
                <w:tab w:val="left" w:pos="1122"/>
                <w:tab w:val="left" w:pos="1651"/>
                <w:tab w:val="left" w:pos="1947"/>
                <w:tab w:val="left" w:pos="2474"/>
                <w:tab w:val="left" w:pos="2871"/>
                <w:tab w:val="left" w:pos="3327"/>
                <w:tab w:val="left" w:pos="3570"/>
                <w:tab w:val="left" w:pos="4083"/>
                <w:tab w:val="left" w:pos="4626"/>
                <w:tab w:val="left" w:pos="5044"/>
                <w:tab w:val="left" w:pos="5337"/>
                <w:tab w:val="left" w:pos="5681"/>
                <w:tab w:val="left" w:pos="6080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Белсенді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ретінде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дифтериялық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анатоксин,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сіреспе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анатоксин,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көкжөтелдің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тұтас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жасушалары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гепатитінің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жоғары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қаббатағы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антигені</w:t>
            </w:r>
            <w:proofErr w:type="spellEnd"/>
            <w:proofErr w:type="gram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сіреспе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протеині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бар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конъюгирленген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B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Haemophilus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influenzae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1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сия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полиовирусы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2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сия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полиовирусы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3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типті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сия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полиовирусы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қолданылады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физикалық-химиялық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қасиеттері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туралы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ақпарат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субстанциялардың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жеткілікті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көлемде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сапа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тұрақтылығын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дәлелдейді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өнімнің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біртектілігі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сериядан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серияға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дейін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сақталады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процесс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бақылауда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Ұсынылған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субстанция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қолданылатын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әдістерінің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барабарлығын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толық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растайды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Б</w:t>
            </w:r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ФС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дайын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өнімде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ұсынылады</w:t>
            </w:r>
            <w:proofErr w:type="spellEnd"/>
            <w:r w:rsidRPr="00BD59F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AB5081" w:rsidRDefault="00AB5081">
      <w:pPr>
        <w:sectPr w:rsidR="00AB5081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AB5081">
        <w:trPr>
          <w:cantSplit/>
          <w:trHeight w:hRule="exact" w:val="3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after="6" w:line="160" w:lineRule="exact"/>
              <w:rPr>
                <w:sz w:val="16"/>
                <w:szCs w:val="16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336B09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Қосымша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заттар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: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саны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мәліметтерді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пайдалану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мүмкіндігі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туралы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қорытындылармен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336B09">
            <w:pPr>
              <w:widowControl w:val="0"/>
              <w:tabs>
                <w:tab w:val="left" w:pos="521"/>
                <w:tab w:val="left" w:pos="1570"/>
                <w:tab w:val="left" w:pos="2209"/>
                <w:tab w:val="left" w:pos="2876"/>
                <w:tab w:val="left" w:pos="3685"/>
                <w:tab w:val="left" w:pos="4431"/>
                <w:tab w:val="left" w:pos="4796"/>
                <w:tab w:val="left" w:pos="5189"/>
                <w:tab w:val="left" w:pos="608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Препараттың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құрамында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Қазақстан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аумағында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қолдануға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тыйым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салынған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бояғыштар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адам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немесе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жануарлардан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алынатын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қосымша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жоқ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қосалқы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заттардың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сапасы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фармакопеялық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келеді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бұл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талдау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сертификаттарымен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(ЕФ 9.5)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расталған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Құрам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жүргізілген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фармацевтикалық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әзірлеу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барысында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іріктелді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таңдау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әрбір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заттың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функционалдық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мақсатына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негізделді,компоненттердің</w:t>
            </w:r>
            <w:proofErr w:type="spellEnd"/>
            <w:proofErr w:type="gram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үйлесімділігі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тұрақтылықты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зерделеу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жөніндегі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деректермен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расталды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B508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336B0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Дәрілік 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 w:rsidR="00CF54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AB5081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336B0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336B09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GMP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талаптарын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қанағаттандыратын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процесінде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бақылау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процесінің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сипаттамасы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ұсынылған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.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Валидациялық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сынақтардың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нәтижелері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өндірістік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процесс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тұрақты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екенін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көрсетеді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және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дайын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өнімге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фирманың</w:t>
            </w:r>
            <w:proofErr w:type="spellEnd"/>
            <w:r w:rsidR="004D00D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 өзіндік ерекшелігінің</w:t>
            </w:r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барлық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параметрлері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бойынша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сәйкес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келетін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сериядан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 серия</w:t>
            </w:r>
            <w:r w:rsidR="004D00D7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ғ</w:t>
            </w:r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proofErr w:type="gram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өнім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алуға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мүмкіндік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береді</w:t>
            </w:r>
            <w:proofErr w:type="spellEnd"/>
            <w:r w:rsidRPr="00336B0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.</w:t>
            </w:r>
          </w:p>
        </w:tc>
      </w:tr>
      <w:tr w:rsidR="00AB5081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DE759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7596" w:rsidRPr="00DE7596" w:rsidRDefault="00DE7596" w:rsidP="00DE7596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</w:t>
            </w:r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9.5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стандарттары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ICH</w:t>
            </w:r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Q2, Q6A, Q3А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басшылығы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шеңберінде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ерекшеліктің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негіздемесі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препараттың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қолданылатын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әдістерінің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барабарлығын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DE7596" w:rsidRPr="00DE7596" w:rsidRDefault="00DE7596" w:rsidP="00DE7596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DE7596" w:rsidRPr="00DE7596" w:rsidRDefault="00C36A63" w:rsidP="00DE7596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Талдамалық </w:t>
            </w:r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әдістемелердің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жүргізілген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валидациясының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мәлімделген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сапасын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рутиндік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үшін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әдістемелерді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қолдану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мүмкіндігін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растайды</w:t>
            </w:r>
            <w:proofErr w:type="spellEnd"/>
            <w:r w:rsidR="00DE7596"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  <w:p w:rsidR="00DE7596" w:rsidRPr="00DE7596" w:rsidRDefault="00DE7596" w:rsidP="00DE7596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</w:pPr>
          </w:p>
          <w:p w:rsidR="00AB5081" w:rsidRDefault="00DE7596" w:rsidP="00DE7596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Үш</w:t>
            </w:r>
            <w:proofErr w:type="spellEnd"/>
            <w:r w:rsidR="00C36A6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 </w:t>
            </w:r>
            <w:proofErr w:type="gramStart"/>
            <w:r w:rsidR="00C36A63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бірізді </w:t>
            </w:r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proofErr w:type="gram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ұсынылған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талдау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сертификаттары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өнімнің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сапасы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біртектілігі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сериядан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серияға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дейін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сақталатынын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және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процесс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бақылауда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екенін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дәлелдейді</w:t>
            </w:r>
            <w:proofErr w:type="spellEnd"/>
            <w:r w:rsidRPr="00DE7596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AB5081" w:rsidTr="00983326">
        <w:trPr>
          <w:cantSplit/>
          <w:trHeight w:hRule="exact" w:val="586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983326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Тұрақтылықты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сынау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ICH Q1A (R2), Q1 C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талаптарына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жүргізілді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Тұрақтылықты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ұзақ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мерзімді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зерттеу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нәтижелеріне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дайын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препарат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сапасының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сыни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көрсеткіштерінің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елеулі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өзгерістері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байқалмайды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1.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Сипаттамасы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өзіндік ерекшелік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талаптарына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сәйкес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келеді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2.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Қоспалардың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құрамы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өзіндік </w:t>
            </w:r>
            <w:proofErr w:type="gram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ерекшелік 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шегінде</w:t>
            </w:r>
            <w:proofErr w:type="spellEnd"/>
            <w:proofErr w:type="gram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болады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3.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ab/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Әсер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етуші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заттың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сандық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құрамының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елеулі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өзгерістері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байқалмайды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83326" w:rsidRPr="00DA6080" w:rsidRDefault="00983326" w:rsidP="00983326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AB5081" w:rsidRDefault="00983326" w:rsidP="00983326">
            <w:pPr>
              <w:widowControl w:val="0"/>
              <w:spacing w:line="240" w:lineRule="auto"/>
              <w:ind w:left="60" w:right="-16" w:firstLine="67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Препараттың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тұрақтылығын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зерттеу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нәтижелері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мәлімделген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сақтау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мерзімін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2</w:t>
            </w:r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жыл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растайды</w:t>
            </w:r>
            <w:proofErr w:type="spellEnd"/>
            <w:r w:rsidRPr="00DA608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</w:tbl>
    <w:p w:rsidR="00AB5081" w:rsidRDefault="00AB5081">
      <w:pPr>
        <w:sectPr w:rsidR="00AB5081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AB5081" w:rsidRPr="00494839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after="41" w:line="240" w:lineRule="exact"/>
              <w:rPr>
                <w:sz w:val="24"/>
                <w:szCs w:val="24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494839" w:rsidRDefault="00494839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ілер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494839" w:rsidRDefault="00AB5081">
            <w:pPr>
              <w:spacing w:after="14" w:line="200" w:lineRule="exact"/>
              <w:rPr>
                <w:sz w:val="20"/>
                <w:szCs w:val="20"/>
                <w:lang w:val="kk-KZ"/>
              </w:rPr>
            </w:pPr>
          </w:p>
          <w:p w:rsidR="00AB5081" w:rsidRPr="00494839" w:rsidRDefault="00494839" w:rsidP="00494839">
            <w:pPr>
              <w:widowControl w:val="0"/>
              <w:spacing w:line="240" w:lineRule="auto"/>
              <w:ind w:left="60" w:right="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 w:rsidRPr="00494839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Клиникалық зерттеулер басталғанға дейін клиникаға дейінгі зерттеулер кезеңінде төзімділігі мен қауіпсіздігін егжей-тегжейлі зерделеу орындалды.</w:t>
            </w:r>
          </w:p>
        </w:tc>
      </w:tr>
      <w:tr w:rsidR="00AB5081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494839" w:rsidRDefault="00AB5081">
            <w:pPr>
              <w:spacing w:line="240" w:lineRule="exact"/>
              <w:rPr>
                <w:sz w:val="24"/>
                <w:szCs w:val="24"/>
                <w:lang w:val="kk-KZ"/>
              </w:rPr>
            </w:pPr>
          </w:p>
          <w:p w:rsidR="00AB5081" w:rsidRPr="00494839" w:rsidRDefault="00AB5081">
            <w:pPr>
              <w:spacing w:after="41" w:line="240" w:lineRule="exact"/>
              <w:rPr>
                <w:sz w:val="24"/>
                <w:szCs w:val="24"/>
                <w:lang w:val="kk-KZ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494839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 w:rsidR="00494839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калық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 w:rsid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after="14" w:line="200" w:lineRule="exact"/>
              <w:rPr>
                <w:sz w:val="20"/>
                <w:szCs w:val="20"/>
              </w:rPr>
            </w:pPr>
          </w:p>
          <w:p w:rsidR="00AB5081" w:rsidRDefault="00494839">
            <w:pPr>
              <w:widowControl w:val="0"/>
              <w:spacing w:line="240" w:lineRule="auto"/>
              <w:ind w:left="60" w:right="7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Қауіпсіздік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пен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иммуногендікті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растау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үшін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I, II, III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фазалардың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дербес</w:t>
            </w:r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клиникалық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зерттеулерінің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нәтижелері</w:t>
            </w:r>
            <w:proofErr w:type="spellEnd"/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ұсынылған</w:t>
            </w:r>
            <w:r w:rsidRPr="004948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AB5081">
        <w:trPr>
          <w:cantSplit/>
          <w:trHeight w:hRule="exact" w:val="130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line="240" w:lineRule="exact"/>
              <w:rPr>
                <w:sz w:val="24"/>
                <w:szCs w:val="24"/>
              </w:rPr>
            </w:pPr>
          </w:p>
          <w:p w:rsidR="00AB5081" w:rsidRDefault="00AB5081">
            <w:pPr>
              <w:spacing w:after="41" w:line="240" w:lineRule="exact"/>
              <w:rPr>
                <w:sz w:val="24"/>
                <w:szCs w:val="24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417225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573E8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after="14" w:line="200" w:lineRule="exact"/>
              <w:rPr>
                <w:sz w:val="20"/>
                <w:szCs w:val="20"/>
              </w:rPr>
            </w:pPr>
          </w:p>
          <w:p w:rsidR="00AB5081" w:rsidRDefault="00417225">
            <w:pPr>
              <w:widowControl w:val="0"/>
              <w:spacing w:line="240" w:lineRule="auto"/>
              <w:ind w:left="60" w:right="-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Клиникалық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зерттеулер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нәтижелері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бойынша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дәрілік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заттың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қауіпсіздігі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мен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тиімділігін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бағалау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қолайлы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болып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табылады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.</w:t>
            </w:r>
          </w:p>
        </w:tc>
      </w:tr>
      <w:tr w:rsidR="00AB5081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417225" w:rsidRDefault="00CF54AA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 w:rsid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логиялық</w:t>
            </w:r>
            <w:proofErr w:type="spellEnd"/>
            <w:r w:rsid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қадағалау </w:t>
            </w:r>
          </w:p>
        </w:tc>
      </w:tr>
      <w:tr w:rsidR="00AB5081">
        <w:trPr>
          <w:cantSplit/>
          <w:trHeight w:hRule="exact" w:val="136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417225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>Фармакологиялық қадағалау  жүйесінің сипаттамасы</w:t>
            </w:r>
            <w:r w:rsidR="00CF54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417225">
            <w:pPr>
              <w:widowControl w:val="0"/>
              <w:tabs>
                <w:tab w:val="left" w:pos="463"/>
                <w:tab w:val="left" w:pos="2031"/>
                <w:tab w:val="left" w:pos="2382"/>
                <w:tab w:val="left" w:pos="3948"/>
                <w:tab w:val="left" w:pos="4412"/>
                <w:tab w:val="left" w:pos="5749"/>
                <w:tab w:val="left" w:pos="6074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Халықаралық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талаптарға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қолданыстағы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құжаттарға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сәйкес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ТБҚ</w:t>
            </w:r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ДЗ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қауіпсіздігіне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мониторинг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жүргізеді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және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фармакологиялық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қадағалаудың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тиісті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жүйесі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болады</w:t>
            </w:r>
            <w:proofErr w:type="spellEnd"/>
            <w:r w:rsidRPr="004172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 xml:space="preserve"> </w:t>
            </w:r>
          </w:p>
        </w:tc>
      </w:tr>
      <w:tr w:rsidR="00AB5081" w:rsidTr="00910F62">
        <w:trPr>
          <w:cantSplit/>
          <w:trHeight w:hRule="exact" w:val="61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910F62" w:rsidRDefault="00910F6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kk-KZ"/>
              </w:rPr>
              <w:t xml:space="preserve">Клиникаға дейінгі 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 w:rsidR="00CF54AA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  <w:t>ілер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/>
        </w:tc>
      </w:tr>
      <w:tr w:rsidR="00AB5081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after="14" w:line="240" w:lineRule="exact"/>
              <w:rPr>
                <w:sz w:val="24"/>
                <w:szCs w:val="24"/>
              </w:rPr>
            </w:pPr>
          </w:p>
          <w:p w:rsidR="00AB5081" w:rsidRDefault="00CF54AA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Pr="00910F62" w:rsidRDefault="00910F62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5081" w:rsidRDefault="00AB5081">
            <w:pPr>
              <w:spacing w:after="14" w:line="200" w:lineRule="exact"/>
              <w:rPr>
                <w:sz w:val="20"/>
                <w:szCs w:val="20"/>
              </w:rPr>
            </w:pPr>
          </w:p>
          <w:p w:rsidR="00AB5081" w:rsidRDefault="00910F62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kk-KZ"/>
              </w:rPr>
              <w:t>Рецепт бойынша</w:t>
            </w:r>
            <w:r w:rsidR="00CF54A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AB5081" w:rsidRDefault="00CF54A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5081" w:rsidRPr="00CF54AA" w:rsidRDefault="00CF54A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F54AA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AB5081" w:rsidRPr="00CF54AA" w:rsidRDefault="00CF54AA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CF54AA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AB5081" w:rsidRPr="00CF54AA" w:rsidRDefault="00E5683E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4">
                              <w:r w:rsidR="00CF54AA" w:rsidRPr="00CF54AA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drawingObject2" o:spid="_x0000_s1027" type="#_x0000_t202" style="position:absolute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AB5081" w:rsidRPr="00CF54AA" w:rsidRDefault="00CF54AA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F54AA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AB5081" w:rsidRPr="00CF54AA" w:rsidRDefault="00CF54AA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CF54AA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AB5081" w:rsidRPr="00CF54AA" w:rsidRDefault="00C000BB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5">
                        <w:r w:rsidR="00CF54AA" w:rsidRPr="00CF54AA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5081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1"/>
    <w:rsid w:val="002C0181"/>
    <w:rsid w:val="002C2B1D"/>
    <w:rsid w:val="00336B09"/>
    <w:rsid w:val="00417225"/>
    <w:rsid w:val="00494839"/>
    <w:rsid w:val="004D00D7"/>
    <w:rsid w:val="0086114C"/>
    <w:rsid w:val="00910F62"/>
    <w:rsid w:val="00983326"/>
    <w:rsid w:val="00AB5081"/>
    <w:rsid w:val="00BD59F0"/>
    <w:rsid w:val="00C000BB"/>
    <w:rsid w:val="00C36A63"/>
    <w:rsid w:val="00CF54AA"/>
    <w:rsid w:val="00CF5565"/>
    <w:rsid w:val="00DE7596"/>
    <w:rsid w:val="00E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DA132-C890-4320-8497-3DF1225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hyperlink" Target="https://www.sautinsoft.com/products/pdf-focus/order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Айжан Алдангорова</cp:lastModifiedBy>
  <cp:revision>2</cp:revision>
  <dcterms:created xsi:type="dcterms:W3CDTF">2020-02-17T04:22:00Z</dcterms:created>
  <dcterms:modified xsi:type="dcterms:W3CDTF">2020-02-17T04:22:00Z</dcterms:modified>
</cp:coreProperties>
</file>