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29" w:rsidRDefault="00473E29" w:rsidP="00473E29">
      <w:pPr>
        <w:pStyle w:val="a5"/>
        <w:rPr>
          <w:sz w:val="28"/>
          <w:szCs w:val="28"/>
        </w:rPr>
      </w:pPr>
      <w:bookmarkStart w:id="0" w:name="_GoBack"/>
      <w:bookmarkEnd w:id="0"/>
    </w:p>
    <w:p w:rsidR="00473E29" w:rsidRDefault="00473E29" w:rsidP="00473E2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Новая информация безопасности использования лекарственного средства с МНН - </w:t>
      </w:r>
      <w:proofErr w:type="spellStart"/>
      <w:r>
        <w:rPr>
          <w:sz w:val="28"/>
          <w:szCs w:val="28"/>
        </w:rPr>
        <w:t>Лоперамид</w:t>
      </w:r>
      <w:proofErr w:type="spellEnd"/>
    </w:p>
    <w:p w:rsidR="00473E29" w:rsidRDefault="00473E29" w:rsidP="00473E29">
      <w:pPr>
        <w:pStyle w:val="a5"/>
        <w:tabs>
          <w:tab w:val="left" w:pos="6379"/>
          <w:tab w:val="left" w:pos="6804"/>
          <w:tab w:val="left" w:pos="7371"/>
          <w:tab w:val="left" w:pos="7938"/>
        </w:tabs>
        <w:ind w:left="5529"/>
        <w:rPr>
          <w:snapToGrid w:val="0"/>
          <w:sz w:val="28"/>
          <w:szCs w:val="28"/>
        </w:rPr>
      </w:pPr>
    </w:p>
    <w:p w:rsidR="00473E29" w:rsidRDefault="00473E29" w:rsidP="00997973">
      <w:pPr>
        <w:pStyle w:val="a5"/>
        <w:tabs>
          <w:tab w:val="left" w:pos="6379"/>
          <w:tab w:val="left" w:pos="6804"/>
          <w:tab w:val="left" w:pos="7371"/>
          <w:tab w:val="left" w:pos="7938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Лоперамид</w:t>
      </w:r>
      <w:proofErr w:type="spellEnd"/>
      <w:r>
        <w:rPr>
          <w:snapToGrid w:val="0"/>
          <w:sz w:val="28"/>
          <w:szCs w:val="28"/>
        </w:rPr>
        <w:t xml:space="preserve"> – </w:t>
      </w:r>
      <w:proofErr w:type="gramStart"/>
      <w:r>
        <w:rPr>
          <w:snapToGrid w:val="0"/>
          <w:sz w:val="28"/>
          <w:szCs w:val="28"/>
          <w:lang w:val="en-US"/>
        </w:rPr>
        <w:t>c</w:t>
      </w:r>
      <w:proofErr w:type="spellStart"/>
      <w:proofErr w:type="gramEnd"/>
      <w:r>
        <w:rPr>
          <w:snapToGrid w:val="0"/>
          <w:sz w:val="28"/>
          <w:szCs w:val="28"/>
        </w:rPr>
        <w:t>ерьезные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нарушение сердечной деятельности</w:t>
      </w:r>
      <w:r>
        <w:rPr>
          <w:snapToGrid w:val="0"/>
          <w:sz w:val="28"/>
          <w:szCs w:val="28"/>
        </w:rPr>
        <w:t xml:space="preserve"> при применении высоких доз, неправильном применении и злоупотреблении </w:t>
      </w:r>
    </w:p>
    <w:p w:rsidR="00473E29" w:rsidRDefault="00473E29" w:rsidP="00473E2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Комитет по оценке рисков Европейского медицинского агентства (</w:t>
      </w:r>
      <w:r>
        <w:rPr>
          <w:rFonts w:ascii="Times New Roman" w:hAnsi="Times New Roman"/>
          <w:i/>
          <w:sz w:val="28"/>
          <w:szCs w:val="28"/>
        </w:rPr>
        <w:t>PRAC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EMA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23 </w:t>
      </w:r>
      <w:r>
        <w:rPr>
          <w:rFonts w:ascii="Times New Roman" w:hAnsi="Times New Roman"/>
          <w:color w:val="000000"/>
          <w:sz w:val="28"/>
          <w:szCs w:val="28"/>
        </w:rPr>
        <w:t>March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2017,  </w:t>
      </w:r>
      <w:r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имеющихся доказательств данных спонтанного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репортирования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литературных данных,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принял решение обязать держателей регистрационных удостоверений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лоперамид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-содержащих лекарственных средств в течение двух месяцев внести изменения в инструкцию по медицинскому применению со следующими изменения:</w:t>
      </w:r>
      <w:proofErr w:type="gramEnd"/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«Предостережения и особые указания при применении препарата»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Были получены сообщения о нарушении сердечной деятельности</w:t>
      </w:r>
      <w:r>
        <w:rPr>
          <w:rFonts w:ascii="Times New Roman" w:hAnsi="Times New Roman"/>
          <w:sz w:val="28"/>
          <w:szCs w:val="28"/>
          <w:lang w:val="ru-RU" w:eastAsia="ru-RU"/>
        </w:rPr>
        <w:t>, включая удлинение интервала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QT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Style w:val="a4"/>
          <w:b w:val="0"/>
          <w:bCs/>
          <w:sz w:val="28"/>
          <w:szCs w:val="28"/>
          <w:lang w:val="ru-RU"/>
        </w:rPr>
        <w:t>желудочковую тахикардию по типу «пируэт» (</w:t>
      </w:r>
      <w:proofErr w:type="spellStart"/>
      <w:r>
        <w:rPr>
          <w:rStyle w:val="a4"/>
          <w:b w:val="0"/>
          <w:bCs/>
          <w:i/>
          <w:sz w:val="28"/>
          <w:szCs w:val="28"/>
        </w:rPr>
        <w:t>torsades</w:t>
      </w:r>
      <w:proofErr w:type="spellEnd"/>
      <w:r>
        <w:rPr>
          <w:rStyle w:val="a4"/>
          <w:b w:val="0"/>
          <w:bCs/>
          <w:i/>
          <w:sz w:val="28"/>
          <w:szCs w:val="28"/>
          <w:lang w:val="ru-RU"/>
        </w:rPr>
        <w:t xml:space="preserve"> </w:t>
      </w:r>
      <w:r>
        <w:rPr>
          <w:rStyle w:val="a4"/>
          <w:b w:val="0"/>
          <w:bCs/>
          <w:i/>
          <w:sz w:val="28"/>
          <w:szCs w:val="28"/>
        </w:rPr>
        <w:t>de</w:t>
      </w:r>
      <w:r>
        <w:rPr>
          <w:rStyle w:val="a4"/>
          <w:b w:val="0"/>
          <w:bCs/>
          <w:i/>
          <w:sz w:val="28"/>
          <w:szCs w:val="28"/>
          <w:lang w:val="ru-RU"/>
        </w:rPr>
        <w:t xml:space="preserve"> </w:t>
      </w:r>
      <w:r>
        <w:rPr>
          <w:rStyle w:val="a4"/>
          <w:b w:val="0"/>
          <w:bCs/>
          <w:i/>
          <w:sz w:val="28"/>
          <w:szCs w:val="28"/>
        </w:rPr>
        <w:t>pointes</w:t>
      </w:r>
      <w:r>
        <w:rPr>
          <w:rStyle w:val="a4"/>
          <w:b w:val="0"/>
          <w:bCs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val="ru-RU"/>
        </w:rPr>
        <w:t xml:space="preserve">приеме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дозе, превышающей рекомендованную в инструкции по медицинскому применению, а также при неправильном применении или злоупотреблении (намеренном или непреднамеренном). В некоторых случаях сообщалось о летальном исходе (см. раздел «Передозировка»). Пациентам не следует превышать рекомендованную дозу препарата и рекомендованную длительность приема.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«Передозировка»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 применении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дозе, превышающей рекомендованную, наблюдалось </w:t>
      </w:r>
      <w:r>
        <w:rPr>
          <w:rFonts w:ascii="Times New Roman" w:hAnsi="Times New Roman"/>
          <w:sz w:val="28"/>
          <w:szCs w:val="28"/>
          <w:lang w:val="ru-RU"/>
        </w:rPr>
        <w:t>нарушение сердечной деятельности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включая удлинение интервала 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QT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>
        <w:rPr>
          <w:rStyle w:val="a4"/>
          <w:b w:val="0"/>
          <w:bCs/>
          <w:sz w:val="28"/>
          <w:szCs w:val="28"/>
          <w:lang w:val="ru-RU"/>
        </w:rPr>
        <w:t>желудочковую тахикардию по типу «пируэт» (</w:t>
      </w:r>
      <w:proofErr w:type="spellStart"/>
      <w:r>
        <w:rPr>
          <w:rStyle w:val="a4"/>
          <w:b w:val="0"/>
          <w:bCs/>
          <w:i/>
          <w:sz w:val="28"/>
          <w:szCs w:val="28"/>
        </w:rPr>
        <w:t>torsades</w:t>
      </w:r>
      <w:proofErr w:type="spellEnd"/>
      <w:r>
        <w:rPr>
          <w:rStyle w:val="a4"/>
          <w:b w:val="0"/>
          <w:bCs/>
          <w:i/>
          <w:sz w:val="28"/>
          <w:szCs w:val="28"/>
          <w:lang w:val="ru-RU"/>
        </w:rPr>
        <w:t xml:space="preserve"> </w:t>
      </w:r>
      <w:r>
        <w:rPr>
          <w:rStyle w:val="a4"/>
          <w:b w:val="0"/>
          <w:bCs/>
          <w:i/>
          <w:sz w:val="28"/>
          <w:szCs w:val="28"/>
        </w:rPr>
        <w:t>de</w:t>
      </w:r>
      <w:r>
        <w:rPr>
          <w:rStyle w:val="a4"/>
          <w:b w:val="0"/>
          <w:bCs/>
          <w:i/>
          <w:sz w:val="28"/>
          <w:szCs w:val="28"/>
          <w:lang w:val="ru-RU"/>
        </w:rPr>
        <w:t xml:space="preserve"> </w:t>
      </w:r>
      <w:r>
        <w:rPr>
          <w:rStyle w:val="a4"/>
          <w:b w:val="0"/>
          <w:bCs/>
          <w:i/>
          <w:sz w:val="28"/>
          <w:szCs w:val="28"/>
        </w:rPr>
        <w:t>pointes</w:t>
      </w:r>
      <w:r>
        <w:rPr>
          <w:rStyle w:val="a4"/>
          <w:b w:val="0"/>
          <w:bCs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 w:eastAsia="ru-RU"/>
        </w:rPr>
        <w:t>и другие серьезные желудочковые аритмии, остановку сердца, обмороки. В некоторых случаях сообщалось о летальном исходе.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«Доклинические данные по безопасности»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проведения доклинических исследований </w:t>
      </w:r>
      <w:r>
        <w:rPr>
          <w:rFonts w:ascii="Times New Roman" w:hAnsi="Times New Roman"/>
          <w:i/>
          <w:sz w:val="28"/>
          <w:szCs w:val="28"/>
        </w:rPr>
        <w:t>in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vitro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in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vivo</w:t>
      </w:r>
      <w:r>
        <w:rPr>
          <w:rFonts w:ascii="Times New Roman" w:hAnsi="Times New Roman"/>
          <w:sz w:val="28"/>
          <w:szCs w:val="28"/>
          <w:lang w:val="ru-RU"/>
        </w:rPr>
        <w:t xml:space="preserve"> не было отмечено значимого электрофизиологического влияния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сердце при концентрации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пределах терапевтического диапазона, а также при его значительном увеличении (до 47 раз). Однако, при чрезмерно высоких концентрациях, связанных с передозировкой (см. раздел «Предостережения и особые указания»),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оказывает электрофизиологическое действие на сердце, вызывая блокаду калиевых (</w:t>
      </w:r>
      <w:proofErr w:type="spellStart"/>
      <w:r>
        <w:rPr>
          <w:rFonts w:ascii="Times New Roman" w:hAnsi="Times New Roman"/>
          <w:i/>
          <w:sz w:val="28"/>
          <w:szCs w:val="28"/>
        </w:rPr>
        <w:t>hERG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и натриевых каналов, и аритмию.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пациентов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Что необходимо знать до начала приема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лоперамида</w:t>
      </w:r>
      <w:proofErr w:type="spellEnd"/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Предостережения и меры предосторожности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Принимайте лекарственное средство только по показаниям, описанным в инструкции по медицинскому применению (см. раздел «Показания»). Никогда не превышайте рекомендованную дозу (см. раздел «Способ применения и дозировка»). Серьезные нарушения работы сердца, включая учащенное или нерегулярное сердцебиение, наблюдались у пациентов, которые принимали большие дозы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вы приняли большую дозу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вы приняли большую дозу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необходимо немедленно обратиться за советом к врачу.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Симптомы передозировки могут включать: увеличение частоты сердечных сокращений, нерегулярное сердцебиение, изменения сокращения сердца (последствия этих симптомов могут представлять угрозу для жизни), ригидность (жесткость) мышц, некоординированные движения, сонливость, затрудненное мочеиспускание, ослабленное дыхание. </w:t>
      </w:r>
      <w:proofErr w:type="gramEnd"/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сильнее реагируют на прием большого количества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лоперамида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чем взрослые. Необходимо немедленно обратиться к врачу, если у ребенка развился любой из вышеперечисленных симптомов.</w:t>
      </w:r>
    </w:p>
    <w:p w:rsidR="00473E29" w:rsidRDefault="00473E29" w:rsidP="00473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3E29" w:rsidRDefault="00473E29" w:rsidP="00473E29">
      <w:pPr>
        <w:spacing w:after="0" w:line="240" w:lineRule="auto"/>
        <w:ind w:left="709"/>
        <w:jc w:val="both"/>
        <w:rPr>
          <w:rFonts w:ascii="Times New Roman" w:hAnsi="Times New Roman"/>
          <w:i/>
          <w:noProof/>
          <w:sz w:val="20"/>
          <w:szCs w:val="20"/>
          <w:lang w:val="ru-RU" w:eastAsia="ru-RU"/>
        </w:rPr>
      </w:pPr>
    </w:p>
    <w:p w:rsidR="00473E29" w:rsidRDefault="00473E29" w:rsidP="00473E29">
      <w:pPr>
        <w:spacing w:after="0" w:line="240" w:lineRule="auto"/>
        <w:ind w:left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ru-RU"/>
        </w:rPr>
        <w:t>Литература</w:t>
      </w:r>
      <w:r>
        <w:rPr>
          <w:rFonts w:ascii="Times New Roman" w:hAnsi="Times New Roman"/>
          <w:i/>
          <w:sz w:val="20"/>
          <w:szCs w:val="20"/>
        </w:rPr>
        <w:t>:</w:t>
      </w:r>
    </w:p>
    <w:p w:rsidR="00473E29" w:rsidRDefault="00473E29" w:rsidP="00473E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New product information wording – extracts from PRAC recommendations on signals Adopted at the 6-9 march 2017 PRAC EMA/PRAC/146563/2017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Pharmacovigilance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Risk Assessment Committee 23 March 2017</w:t>
      </w:r>
    </w:p>
    <w:p w:rsidR="00473E29" w:rsidRDefault="00473E29" w:rsidP="00473E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PRAC recommendations on signals Adopted at the 6-9 march 2017 PRAC EMA/PRAC/146565/2017</w:t>
      </w:r>
    </w:p>
    <w:p w:rsidR="00473E29" w:rsidRDefault="00473E29" w:rsidP="00473E2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473E29" w:rsidRDefault="00473E29" w:rsidP="00473E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www.rceth.by</w:t>
      </w:r>
    </w:p>
    <w:p w:rsidR="00473E29" w:rsidRDefault="00473E29" w:rsidP="00473E29">
      <w:pPr>
        <w:tabs>
          <w:tab w:val="left" w:pos="426"/>
        </w:tabs>
        <w:spacing w:after="0" w:line="240" w:lineRule="auto"/>
        <w:ind w:left="27"/>
        <w:jc w:val="both"/>
        <w:rPr>
          <w:rFonts w:ascii="Times New Roman" w:hAnsi="Times New Roman"/>
          <w:i/>
          <w:sz w:val="20"/>
          <w:szCs w:val="20"/>
        </w:rPr>
      </w:pPr>
    </w:p>
    <w:p w:rsidR="00473E29" w:rsidRDefault="00473E29" w:rsidP="00473E29">
      <w:pPr>
        <w:tabs>
          <w:tab w:val="left" w:pos="426"/>
        </w:tabs>
        <w:spacing w:after="0" w:line="240" w:lineRule="auto"/>
        <w:ind w:left="27"/>
        <w:jc w:val="both"/>
        <w:rPr>
          <w:rFonts w:ascii="Times New Roman" w:hAnsi="Times New Roman"/>
          <w:i/>
          <w:sz w:val="20"/>
          <w:szCs w:val="20"/>
        </w:rPr>
      </w:pPr>
    </w:p>
    <w:p w:rsidR="00832C73" w:rsidRDefault="00832C73"/>
    <w:sectPr w:rsidR="0083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BE" w:rsidRDefault="00117EBE" w:rsidP="009B5575">
      <w:pPr>
        <w:spacing w:after="0" w:line="240" w:lineRule="auto"/>
      </w:pPr>
      <w:r>
        <w:separator/>
      </w:r>
    </w:p>
  </w:endnote>
  <w:endnote w:type="continuationSeparator" w:id="0">
    <w:p w:rsidR="00117EBE" w:rsidRDefault="00117EBE" w:rsidP="009B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BE" w:rsidRDefault="00117EBE" w:rsidP="009B5575">
      <w:pPr>
        <w:spacing w:after="0" w:line="240" w:lineRule="auto"/>
      </w:pPr>
      <w:r>
        <w:separator/>
      </w:r>
    </w:p>
  </w:footnote>
  <w:footnote w:type="continuationSeparator" w:id="0">
    <w:p w:rsidR="00117EBE" w:rsidRDefault="00117EBE" w:rsidP="009B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686"/>
    <w:multiLevelType w:val="hybridMultilevel"/>
    <w:tmpl w:val="7F72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9"/>
    <w:rsid w:val="00117EBE"/>
    <w:rsid w:val="0030079D"/>
    <w:rsid w:val="00473E29"/>
    <w:rsid w:val="00832C73"/>
    <w:rsid w:val="00997973"/>
    <w:rsid w:val="009B5575"/>
    <w:rsid w:val="00D9392A"/>
    <w:rsid w:val="00D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29"/>
    <w:rPr>
      <w:rFonts w:ascii="Times New Roman" w:hAnsi="Times New Roman" w:cs="Times New Roman" w:hint="default"/>
      <w:color w:val="000000"/>
    </w:rPr>
  </w:style>
  <w:style w:type="character" w:styleId="a4">
    <w:name w:val="Strong"/>
    <w:basedOn w:val="a0"/>
    <w:uiPriority w:val="22"/>
    <w:qFormat/>
    <w:rsid w:val="00473E29"/>
    <w:rPr>
      <w:rFonts w:ascii="Times New Roman" w:hAnsi="Times New Roman" w:cs="Times New Roman" w:hint="default"/>
      <w:b/>
      <w:bCs w:val="0"/>
    </w:rPr>
  </w:style>
  <w:style w:type="paragraph" w:styleId="a5">
    <w:name w:val="Body Text"/>
    <w:basedOn w:val="a"/>
    <w:link w:val="a6"/>
    <w:uiPriority w:val="99"/>
    <w:semiHidden/>
    <w:unhideWhenUsed/>
    <w:rsid w:val="00473E29"/>
    <w:pPr>
      <w:spacing w:after="0" w:line="240" w:lineRule="auto"/>
      <w:jc w:val="both"/>
    </w:pPr>
    <w:rPr>
      <w:rFonts w:ascii="Times New Roman" w:hAnsi="Times New Roman"/>
      <w:b/>
      <w:sz w:val="30"/>
      <w:szCs w:val="3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3E29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473E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5575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9B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575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29"/>
    <w:rPr>
      <w:rFonts w:ascii="Times New Roman" w:hAnsi="Times New Roman" w:cs="Times New Roman" w:hint="default"/>
      <w:color w:val="000000"/>
    </w:rPr>
  </w:style>
  <w:style w:type="character" w:styleId="a4">
    <w:name w:val="Strong"/>
    <w:basedOn w:val="a0"/>
    <w:uiPriority w:val="22"/>
    <w:qFormat/>
    <w:rsid w:val="00473E29"/>
    <w:rPr>
      <w:rFonts w:ascii="Times New Roman" w:hAnsi="Times New Roman" w:cs="Times New Roman" w:hint="default"/>
      <w:b/>
      <w:bCs w:val="0"/>
    </w:rPr>
  </w:style>
  <w:style w:type="paragraph" w:styleId="a5">
    <w:name w:val="Body Text"/>
    <w:basedOn w:val="a"/>
    <w:link w:val="a6"/>
    <w:uiPriority w:val="99"/>
    <w:semiHidden/>
    <w:unhideWhenUsed/>
    <w:rsid w:val="00473E29"/>
    <w:pPr>
      <w:spacing w:after="0" w:line="240" w:lineRule="auto"/>
      <w:jc w:val="both"/>
    </w:pPr>
    <w:rPr>
      <w:rFonts w:ascii="Times New Roman" w:hAnsi="Times New Roman"/>
      <w:b/>
      <w:sz w:val="30"/>
      <w:szCs w:val="3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3E29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473E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5575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9B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57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Мирманова Раиса Каспаевна</dc:creator>
  <cp:lastModifiedBy>Кеншимбай Дулат Буркитханович</cp:lastModifiedBy>
  <cp:revision>3</cp:revision>
  <dcterms:created xsi:type="dcterms:W3CDTF">2017-07-13T04:51:00Z</dcterms:created>
  <dcterms:modified xsi:type="dcterms:W3CDTF">2017-07-13T04:51:00Z</dcterms:modified>
</cp:coreProperties>
</file>