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AD" w:rsidRDefault="00A42DAD" w:rsidP="00A42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:rsidR="00A42DAD" w:rsidRPr="00A42DAD" w:rsidRDefault="00A42DAD" w:rsidP="00A42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ЖУРНАЛА «ФАРМАЦИЯ КАЗАХСТАНА» (№10, 2019 ГОД)</w:t>
      </w:r>
    </w:p>
    <w:p w:rsidR="00A42DAD" w:rsidRDefault="00A42DAD" w:rsidP="00A42DAD">
      <w:pPr>
        <w:tabs>
          <w:tab w:val="left" w:pos="3524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C6E72" w:rsidRPr="00A42DAD" w:rsidRDefault="005C6E72" w:rsidP="00A42DAD">
      <w:pPr>
        <w:tabs>
          <w:tab w:val="left" w:pos="3524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kk-KZ"/>
        </w:rPr>
      </w:pPr>
      <w:r w:rsidRPr="00A42DAD">
        <w:rPr>
          <w:rFonts w:ascii="Times New Roman" w:hAnsi="Times New Roman" w:cs="Times New Roman"/>
          <w:b/>
          <w:bCs/>
          <w:color w:val="FF0000"/>
          <w:sz w:val="24"/>
          <w:szCs w:val="24"/>
        </w:rPr>
        <w:t>РЕСМИ БӨЛІМ</w:t>
      </w:r>
    </w:p>
    <w:p w:rsidR="005C6E72" w:rsidRPr="00A42DAD" w:rsidRDefault="005C6E72" w:rsidP="00A42DAD">
      <w:pPr>
        <w:tabs>
          <w:tab w:val="left" w:pos="3524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C6E72" w:rsidRPr="00A42DAD" w:rsidRDefault="005C6E72" w:rsidP="00A42DAD">
      <w:pPr>
        <w:tabs>
          <w:tab w:val="left" w:pos="3524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FF494B" w:rsidRPr="00A42DAD" w:rsidRDefault="00FF494B" w:rsidP="00A42DAD">
      <w:pPr>
        <w:tabs>
          <w:tab w:val="left" w:pos="3524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42DA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ОФИЦИАЛЬНЫЙ ОТДЕЛ </w:t>
      </w:r>
      <w:r w:rsidRPr="00A42DAD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FF494B" w:rsidRPr="00A42DAD" w:rsidRDefault="00FF494B" w:rsidP="00A42DA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2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5C6E72" w:rsidRPr="00A42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42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здравоохранения РК №Қ</w:t>
      </w:r>
      <w:proofErr w:type="gramStart"/>
      <w:r w:rsidRPr="00A42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A42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ДСМ-132 от 3 октября 2019 года</w:t>
      </w:r>
      <w:r w:rsidRPr="00A42D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A42DA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приказ Министра здравоохранения и социального развития Республики Казахстан от 28 апреля 2015 года №297 «Об утверждении стандарта государственной услуги «Выдача документов о прохождении подготовки, повышении квалификации и переподготовке кадров отрасли здравоохранения».</w:t>
      </w:r>
    </w:p>
    <w:p w:rsidR="00FF494B" w:rsidRPr="00A42DAD" w:rsidRDefault="00FF494B" w:rsidP="00A42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Приказ Министра здравоохранения Республики Казахстан №Қ</w:t>
      </w:r>
      <w:proofErr w:type="gramStart"/>
      <w:r w:rsidRPr="00A42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A42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ДСМ-133 от 3 октября 2019 года</w:t>
      </w:r>
      <w:r w:rsidRPr="00A42D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A42DA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приказ исполняющего обязанности Министра здравоохранения Республики Казахстан от 10 ноября 2009 года №685 «Об установлении целевых групп лиц, подлежащих профилактическим медицинским осмотрам, а также правил и периодичности проведения данных осмотров»</w:t>
      </w:r>
      <w:r w:rsidR="00684DEE" w:rsidRPr="00A42D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4DEE" w:rsidRPr="00A42DAD" w:rsidRDefault="00684DEE" w:rsidP="00A42D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D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Приказ </w:t>
      </w:r>
      <w:proofErr w:type="spellStart"/>
      <w:r w:rsidRPr="00A42D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и.о</w:t>
      </w:r>
      <w:proofErr w:type="spellEnd"/>
      <w:r w:rsidRPr="00A42D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Министра здравоохранения Республики Казахстан №Қ</w:t>
      </w:r>
      <w:proofErr w:type="gramStart"/>
      <w:r w:rsidRPr="00A42D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A42D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ДСМ-135 от 4 октября 2019 года </w:t>
      </w:r>
      <w:r w:rsidRPr="00A42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«Об утверждении Санитарных правил «Санитарно-эпидемиологические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инфекционными заболеваниями, против которых проводятся профилактические прививки».</w:t>
      </w:r>
    </w:p>
    <w:p w:rsidR="00684DEE" w:rsidRPr="00A42DAD" w:rsidRDefault="00684DEE" w:rsidP="00A42D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2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Приказ Министра здравоохранения Республики Казахстан №Қ</w:t>
      </w:r>
      <w:proofErr w:type="gramStart"/>
      <w:r w:rsidRPr="00A42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A42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ДСМ-136 от 17 октября 2019 года</w:t>
      </w:r>
      <w:r w:rsidRPr="00A42D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42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«Об утверждении перечня хрон</w:t>
      </w:r>
      <w:r w:rsidR="005C6E72" w:rsidRPr="00A42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ических заболеваний, при которых</w:t>
      </w:r>
      <w:r w:rsidRPr="00A42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проводится динамическое наблюдение больных, перечня социально-значимых заболеваний, при которых оказывается медико-социальная помощь, перечня диагностических услуг, в том числе лабораторной диагностики, перечня инфекционных заболеваний и заболеваний, представляющих опасность для окружающих, перечня заболеваний, не подлежащих динамическому наблюдению в рамках гарантированного объема бесплатной медицинской помощи, перечня отдельных категорий населения, подлежащих экстренной и плановой стоматологической помощи, перечня заболеваний (состояний), подлежащих медицинской реабилитации и восстановительному лечению по направлению специалиста первичной медико-санитарной помощи или медицинской организации»</w:t>
      </w:r>
      <w:r w:rsidR="005C6E72" w:rsidRPr="00A42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B5A5C" w:rsidRPr="00A42DAD" w:rsidRDefault="00DB5A5C" w:rsidP="00A42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A42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Председателя КККБТУ МЗ РК №230-НҚ от 1 октября 2019 года</w:t>
      </w:r>
      <w:r w:rsidRPr="00A42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6E72" w:rsidRPr="00A42DA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42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 отзыве регистрационных удостоверений некоторых медицинских изделий</w:t>
      </w:r>
      <w:r w:rsidRPr="00A42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42DA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Тест-полосок</w:t>
      </w:r>
      <w:proofErr w:type="gramEnd"/>
      <w:r w:rsidRPr="00A42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определения уровня глюкозы в крови) согласно </w:t>
      </w:r>
      <w:r w:rsidR="005C6E72" w:rsidRPr="00A42D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к настоящему приказу.</w:t>
      </w:r>
    </w:p>
    <w:p w:rsidR="00325585" w:rsidRPr="00A42DAD" w:rsidRDefault="00092950" w:rsidP="00A42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Приказ </w:t>
      </w:r>
      <w:proofErr w:type="spellStart"/>
      <w:r w:rsidRPr="00A42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и.о</w:t>
      </w:r>
      <w:proofErr w:type="spellEnd"/>
      <w:r w:rsidRPr="00A42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Председателя КККБТУ МЗ РК №232-НҚ от 2 октября 2019 года</w:t>
      </w:r>
      <w:r w:rsidRPr="00A42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6E72" w:rsidRPr="00A42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Pr="00A42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снятии приостановления применения и реализации лекарственных средств</w:t>
      </w:r>
      <w:r w:rsidRPr="00A42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42D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Левофлокс</w:t>
      </w:r>
      <w:proofErr w:type="spellEnd"/>
      <w:r w:rsidRPr="00A42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2DA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Ротомокс</w:t>
      </w:r>
      <w:proofErr w:type="spellEnd"/>
      <w:r w:rsidRPr="00A42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2DA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Метотрексат</w:t>
      </w:r>
      <w:proofErr w:type="spellEnd"/>
      <w:r w:rsidRPr="00A42DAD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согласно приложению к настоящему приказу</w:t>
      </w:r>
      <w:r w:rsidR="005C6E72" w:rsidRPr="00A42D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0E18" w:rsidRPr="00A42DAD" w:rsidRDefault="00325585" w:rsidP="00A42DA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A42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</w:t>
      </w:r>
      <w:proofErr w:type="spellStart"/>
      <w:r w:rsidRPr="00A42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и.о</w:t>
      </w:r>
      <w:proofErr w:type="spellEnd"/>
      <w:r w:rsidRPr="00A42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председателя КККБТУ МЗ РК </w:t>
      </w:r>
      <w:r w:rsidR="005C6E72" w:rsidRPr="00A42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№234-НҚ от 10 октября 2019 года «О</w:t>
      </w:r>
      <w:r w:rsidRPr="00A42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прекращении действия регистрационного удостоверения лекарственного средства</w:t>
      </w:r>
      <w:r w:rsidRPr="00A42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A42DAD">
        <w:rPr>
          <w:rFonts w:ascii="Times New Roman" w:eastAsia="Times New Roman" w:hAnsi="Times New Roman" w:cs="Times New Roman"/>
          <w:sz w:val="24"/>
          <w:szCs w:val="24"/>
          <w:lang w:eastAsia="ru-RU"/>
        </w:rPr>
        <w:t>Иксел</w:t>
      </w:r>
      <w:proofErr w:type="spellEnd"/>
      <w:r w:rsidRPr="00A42D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®</w:t>
      </w:r>
      <w:r w:rsidR="005C6E72" w:rsidRPr="00A42DA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2DA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капсулы, 25 мг и 50 мг, производитель</w:t>
      </w:r>
      <w:r w:rsidR="00A8331E" w:rsidRPr="00A42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2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Пьер Фабр Медикамент </w:t>
      </w:r>
      <w:proofErr w:type="spellStart"/>
      <w:r w:rsidRPr="00A42D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Продакшн</w:t>
      </w:r>
      <w:proofErr w:type="spellEnd"/>
      <w:r w:rsidRPr="00A42DAD">
        <w:rPr>
          <w:rFonts w:ascii="Times New Roman" w:eastAsia="Times New Roman" w:hAnsi="Times New Roman" w:cs="Times New Roman"/>
          <w:sz w:val="24"/>
          <w:szCs w:val="24"/>
          <w:lang w:eastAsia="ru-RU"/>
        </w:rPr>
        <w:t>, Франция</w:t>
      </w:r>
      <w:r w:rsidR="005C6E72" w:rsidRPr="00A42DA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2D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0E18" w:rsidRPr="00A42DAD" w:rsidRDefault="00DC0E18" w:rsidP="00A42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A42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</w:t>
      </w:r>
      <w:proofErr w:type="spellStart"/>
      <w:r w:rsidRPr="00A42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и.о</w:t>
      </w:r>
      <w:proofErr w:type="spellEnd"/>
      <w:r w:rsidRPr="00A42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Председателя КККБТУ МЗ РК №244-НҚ от 17 октября 2019 года</w:t>
      </w:r>
      <w:r w:rsidR="00A5720E" w:rsidRPr="00A42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6E72" w:rsidRPr="00A42DA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42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прекращении действия регистрационного удостоверения лекарственного средства</w:t>
      </w:r>
      <w:r w:rsidRPr="00A42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A42DA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Таваник</w:t>
      </w:r>
      <w:proofErr w:type="spellEnd"/>
      <w:r w:rsidRPr="00A42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таблетки, покрытые пленочной оболочкой, 250 мг», производитель – </w:t>
      </w:r>
      <w:proofErr w:type="spellStart"/>
      <w:r w:rsidRPr="00A42DA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Санофи</w:t>
      </w:r>
      <w:proofErr w:type="spellEnd"/>
      <w:r w:rsidRPr="00A42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2DA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Винтроп</w:t>
      </w:r>
      <w:proofErr w:type="spellEnd"/>
      <w:r w:rsidRPr="00A42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Индустрия, Франция</w:t>
      </w:r>
      <w:r w:rsidR="005C6E72" w:rsidRPr="00A42DA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494B" w:rsidRPr="00A42DAD" w:rsidRDefault="00A5720E" w:rsidP="00A42DAD">
      <w:pPr>
        <w:tabs>
          <w:tab w:val="left" w:pos="35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DAD">
        <w:rPr>
          <w:rFonts w:ascii="Times New Roman" w:hAnsi="Times New Roman" w:cs="Times New Roman"/>
          <w:sz w:val="24"/>
          <w:szCs w:val="24"/>
        </w:rPr>
        <w:t xml:space="preserve">9. Приказ </w:t>
      </w:r>
      <w:proofErr w:type="spellStart"/>
      <w:r w:rsidRPr="00A42DAD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A42DAD">
        <w:rPr>
          <w:rFonts w:ascii="Times New Roman" w:hAnsi="Times New Roman" w:cs="Times New Roman"/>
          <w:sz w:val="24"/>
          <w:szCs w:val="24"/>
        </w:rPr>
        <w:t>. Председателя КККБТУ МЗ РК №245-НҚ от 17 октября 2019 года</w:t>
      </w:r>
      <w:r w:rsidR="005C6E72" w:rsidRPr="00A42DAD">
        <w:rPr>
          <w:rFonts w:ascii="Times New Roman" w:hAnsi="Times New Roman" w:cs="Times New Roman"/>
          <w:sz w:val="24"/>
          <w:szCs w:val="24"/>
        </w:rPr>
        <w:t xml:space="preserve"> «</w:t>
      </w:r>
      <w:r w:rsidRPr="00A42DAD">
        <w:rPr>
          <w:rFonts w:ascii="Times New Roman" w:hAnsi="Times New Roman" w:cs="Times New Roman"/>
          <w:sz w:val="24"/>
          <w:szCs w:val="24"/>
        </w:rPr>
        <w:t xml:space="preserve">О прекращении действия регистрационного удостоверения лекарственного средства </w:t>
      </w:r>
      <w:proofErr w:type="spellStart"/>
      <w:r w:rsidRPr="00A42DAD">
        <w:rPr>
          <w:rFonts w:ascii="Times New Roman" w:hAnsi="Times New Roman" w:cs="Times New Roman"/>
          <w:sz w:val="24"/>
          <w:szCs w:val="24"/>
        </w:rPr>
        <w:t>Галстена</w:t>
      </w:r>
      <w:proofErr w:type="spellEnd"/>
      <w:r w:rsidRPr="00A42DAD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A42DAD">
        <w:rPr>
          <w:rFonts w:ascii="Times New Roman" w:hAnsi="Times New Roman" w:cs="Times New Roman"/>
          <w:sz w:val="24"/>
          <w:szCs w:val="24"/>
        </w:rPr>
        <w:t xml:space="preserve">, таблетки подъязычные гомеопатические», производитель – Рихард </w:t>
      </w:r>
      <w:proofErr w:type="spellStart"/>
      <w:r w:rsidRPr="00A42DAD">
        <w:rPr>
          <w:rFonts w:ascii="Times New Roman" w:hAnsi="Times New Roman" w:cs="Times New Roman"/>
          <w:sz w:val="24"/>
          <w:szCs w:val="24"/>
        </w:rPr>
        <w:t>Биттнер</w:t>
      </w:r>
      <w:proofErr w:type="spellEnd"/>
      <w:r w:rsidRPr="00A42DAD">
        <w:rPr>
          <w:rFonts w:ascii="Times New Roman" w:hAnsi="Times New Roman" w:cs="Times New Roman"/>
          <w:sz w:val="24"/>
          <w:szCs w:val="24"/>
        </w:rPr>
        <w:t xml:space="preserve"> АГ, Австрия</w:t>
      </w:r>
      <w:r w:rsidR="005C6E72" w:rsidRPr="00A42DAD">
        <w:rPr>
          <w:rFonts w:ascii="Times New Roman" w:hAnsi="Times New Roman" w:cs="Times New Roman"/>
          <w:sz w:val="24"/>
          <w:szCs w:val="24"/>
        </w:rPr>
        <w:t>»</w:t>
      </w:r>
      <w:r w:rsidRPr="00A42DAD">
        <w:rPr>
          <w:rFonts w:ascii="Times New Roman" w:hAnsi="Times New Roman" w:cs="Times New Roman"/>
          <w:sz w:val="24"/>
          <w:szCs w:val="24"/>
        </w:rPr>
        <w:t>.</w:t>
      </w:r>
    </w:p>
    <w:p w:rsidR="00902DDA" w:rsidRPr="00A42DAD" w:rsidRDefault="00902DDA" w:rsidP="00A42DAD">
      <w:pPr>
        <w:tabs>
          <w:tab w:val="left" w:pos="3524"/>
          <w:tab w:val="left" w:pos="57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02DDA" w:rsidRPr="00A42DAD" w:rsidRDefault="00902DDA" w:rsidP="00A42DAD">
      <w:pPr>
        <w:tabs>
          <w:tab w:val="left" w:pos="3524"/>
          <w:tab w:val="left" w:pos="5784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42DAD">
        <w:rPr>
          <w:rFonts w:ascii="Times New Roman" w:hAnsi="Times New Roman" w:cs="Times New Roman"/>
          <w:color w:val="FF0000"/>
          <w:sz w:val="24"/>
          <w:szCs w:val="24"/>
        </w:rPr>
        <w:t xml:space="preserve">ОБЩЕСТВЕННОЕ ЗДРАВООХРАНЕНИЕ </w:t>
      </w:r>
    </w:p>
    <w:p w:rsidR="005C6E72" w:rsidRPr="00A42DAD" w:rsidRDefault="005C6E72" w:rsidP="00A42DAD">
      <w:pPr>
        <w:tabs>
          <w:tab w:val="left" w:pos="3524"/>
          <w:tab w:val="left" w:pos="5784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A42DAD" w:rsidRPr="00176942" w:rsidRDefault="00902DDA" w:rsidP="00176942">
      <w:pPr>
        <w:tabs>
          <w:tab w:val="left" w:pos="3524"/>
          <w:tab w:val="left" w:pos="57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DAD">
        <w:rPr>
          <w:rFonts w:ascii="Times New Roman" w:hAnsi="Times New Roman" w:cs="Times New Roman"/>
          <w:b/>
          <w:sz w:val="24"/>
          <w:szCs w:val="24"/>
        </w:rPr>
        <w:t>АШИРБЕКОВ Г.К.</w:t>
      </w:r>
      <w:r w:rsidR="00765CA9" w:rsidRPr="00A42DAD">
        <w:rPr>
          <w:rFonts w:ascii="Times New Roman" w:hAnsi="Times New Roman" w:cs="Times New Roman"/>
          <w:b/>
          <w:sz w:val="24"/>
          <w:szCs w:val="24"/>
        </w:rPr>
        <w:t>,</w:t>
      </w:r>
      <w:r w:rsidRPr="00A42DAD">
        <w:rPr>
          <w:rFonts w:ascii="Times New Roman" w:hAnsi="Times New Roman" w:cs="Times New Roman"/>
          <w:b/>
          <w:sz w:val="24"/>
          <w:szCs w:val="24"/>
        </w:rPr>
        <w:t xml:space="preserve"> АШИРБЕКОВА К.Ж. С</w:t>
      </w:r>
      <w:r w:rsidR="00682A83" w:rsidRPr="00A42DAD">
        <w:rPr>
          <w:rFonts w:ascii="Times New Roman" w:hAnsi="Times New Roman" w:cs="Times New Roman"/>
          <w:sz w:val="24"/>
          <w:szCs w:val="24"/>
        </w:rPr>
        <w:t xml:space="preserve">оциальное и </w:t>
      </w:r>
      <w:r w:rsidRPr="00A42DAD">
        <w:rPr>
          <w:rFonts w:ascii="Times New Roman" w:hAnsi="Times New Roman" w:cs="Times New Roman"/>
          <w:sz w:val="24"/>
          <w:szCs w:val="24"/>
        </w:rPr>
        <w:t xml:space="preserve">медицинское решение </w:t>
      </w:r>
      <w:r w:rsidR="00682A83" w:rsidRPr="00A42DAD">
        <w:rPr>
          <w:rFonts w:ascii="Times New Roman" w:hAnsi="Times New Roman" w:cs="Times New Roman"/>
          <w:sz w:val="24"/>
          <w:szCs w:val="24"/>
        </w:rPr>
        <w:t xml:space="preserve">вопросов </w:t>
      </w:r>
      <w:proofErr w:type="spellStart"/>
      <w:r w:rsidRPr="00A42DAD">
        <w:rPr>
          <w:rFonts w:ascii="Times New Roman" w:hAnsi="Times New Roman" w:cs="Times New Roman"/>
          <w:sz w:val="24"/>
          <w:szCs w:val="24"/>
        </w:rPr>
        <w:t>реабилитологии</w:t>
      </w:r>
      <w:proofErr w:type="spellEnd"/>
      <w:r w:rsidRPr="00A42DAD">
        <w:rPr>
          <w:rFonts w:ascii="Times New Roman" w:hAnsi="Times New Roman" w:cs="Times New Roman"/>
          <w:sz w:val="24"/>
          <w:szCs w:val="24"/>
        </w:rPr>
        <w:t xml:space="preserve"> </w:t>
      </w:r>
      <w:r w:rsidR="00765CA9" w:rsidRPr="00A42DAD">
        <w:rPr>
          <w:rFonts w:ascii="Times New Roman" w:hAnsi="Times New Roman" w:cs="Times New Roman"/>
          <w:sz w:val="24"/>
          <w:szCs w:val="24"/>
        </w:rPr>
        <w:t>инвалидов с рассеянным склерозом………………………………………</w:t>
      </w:r>
      <w:r w:rsidR="00972BB7" w:rsidRPr="00A42DAD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="00765CA9" w:rsidRPr="00A42DAD">
        <w:rPr>
          <w:rFonts w:ascii="Times New Roman" w:hAnsi="Times New Roman" w:cs="Times New Roman"/>
          <w:b/>
          <w:sz w:val="24"/>
          <w:szCs w:val="24"/>
        </w:rPr>
        <w:t>21</w:t>
      </w:r>
    </w:p>
    <w:p w:rsidR="00A42DAD" w:rsidRPr="00A42DAD" w:rsidRDefault="00A42DAD" w:rsidP="00A42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DAD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E36566" w:rsidRPr="00A42DAD" w:rsidRDefault="00E36566" w:rsidP="00A42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DAD">
        <w:rPr>
          <w:rFonts w:ascii="Times New Roman" w:hAnsi="Times New Roman" w:cs="Times New Roman"/>
          <w:sz w:val="24"/>
          <w:szCs w:val="24"/>
        </w:rPr>
        <w:t>В данной статье поднят ряд вопросов, касающихся улучшения качества социального и медицинского подхода при осуществлении профилактических</w:t>
      </w:r>
      <w:r w:rsidRPr="00A42DAD">
        <w:rPr>
          <w:rFonts w:ascii="Times New Roman" w:hAnsi="Times New Roman" w:cs="Times New Roman"/>
          <w:sz w:val="24"/>
          <w:szCs w:val="24"/>
        </w:rPr>
        <w:t xml:space="preserve"> </w:t>
      </w:r>
      <w:r w:rsidRPr="00A42DAD">
        <w:rPr>
          <w:rFonts w:ascii="Times New Roman" w:hAnsi="Times New Roman" w:cs="Times New Roman"/>
          <w:sz w:val="24"/>
          <w:szCs w:val="24"/>
        </w:rPr>
        <w:t>мероприятий в отношении больных с рассеянным</w:t>
      </w:r>
      <w:r w:rsidRPr="00A42DAD">
        <w:rPr>
          <w:rFonts w:ascii="Times New Roman" w:hAnsi="Times New Roman" w:cs="Times New Roman"/>
          <w:sz w:val="24"/>
          <w:szCs w:val="24"/>
        </w:rPr>
        <w:t xml:space="preserve"> </w:t>
      </w:r>
      <w:r w:rsidRPr="00A42DAD">
        <w:rPr>
          <w:rFonts w:ascii="Times New Roman" w:hAnsi="Times New Roman" w:cs="Times New Roman"/>
          <w:sz w:val="24"/>
          <w:szCs w:val="24"/>
        </w:rPr>
        <w:t>склерозом. Согласно литературным источникам, в</w:t>
      </w:r>
      <w:r w:rsidRPr="00A42DAD">
        <w:rPr>
          <w:rFonts w:ascii="Times New Roman" w:hAnsi="Times New Roman" w:cs="Times New Roman"/>
          <w:sz w:val="24"/>
          <w:szCs w:val="24"/>
        </w:rPr>
        <w:t xml:space="preserve"> </w:t>
      </w:r>
      <w:r w:rsidRPr="00A42DAD">
        <w:rPr>
          <w:rFonts w:ascii="Times New Roman" w:hAnsi="Times New Roman" w:cs="Times New Roman"/>
          <w:sz w:val="24"/>
          <w:szCs w:val="24"/>
        </w:rPr>
        <w:t>ряде стран накоплен опыт, свидетельствующий о наличии</w:t>
      </w:r>
      <w:r w:rsidRPr="00A42DAD">
        <w:rPr>
          <w:rFonts w:ascii="Times New Roman" w:hAnsi="Times New Roman" w:cs="Times New Roman"/>
          <w:sz w:val="24"/>
          <w:szCs w:val="24"/>
        </w:rPr>
        <w:t xml:space="preserve"> </w:t>
      </w:r>
      <w:r w:rsidRPr="00A42DAD">
        <w:rPr>
          <w:rFonts w:ascii="Times New Roman" w:hAnsi="Times New Roman" w:cs="Times New Roman"/>
          <w:sz w:val="24"/>
          <w:szCs w:val="24"/>
        </w:rPr>
        <w:t>реабилитационных возможностей для оказания специализированной помощи пациентам с РС.</w:t>
      </w:r>
    </w:p>
    <w:p w:rsidR="00682A83" w:rsidRPr="00A42DAD" w:rsidRDefault="00E36566" w:rsidP="00A42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DAD">
        <w:rPr>
          <w:rFonts w:ascii="Times New Roman" w:hAnsi="Times New Roman" w:cs="Times New Roman"/>
          <w:b/>
          <w:bCs/>
          <w:sz w:val="24"/>
          <w:szCs w:val="24"/>
        </w:rPr>
        <w:t xml:space="preserve">Ключевые слова: </w:t>
      </w:r>
      <w:r w:rsidRPr="00A42DAD">
        <w:rPr>
          <w:rFonts w:ascii="Times New Roman" w:hAnsi="Times New Roman" w:cs="Times New Roman"/>
          <w:sz w:val="24"/>
          <w:szCs w:val="24"/>
        </w:rPr>
        <w:t>социально-медицинская помощь, рассеянный склероз, адаптация, профилактика.</w:t>
      </w:r>
    </w:p>
    <w:p w:rsidR="00765CA9" w:rsidRPr="00A42DAD" w:rsidRDefault="00765CA9" w:rsidP="00A42DAD">
      <w:pPr>
        <w:tabs>
          <w:tab w:val="left" w:pos="3524"/>
          <w:tab w:val="left" w:pos="57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65CA9" w:rsidRPr="00A42DAD" w:rsidRDefault="00682A83" w:rsidP="00A42DAD">
      <w:pPr>
        <w:tabs>
          <w:tab w:val="left" w:pos="3524"/>
          <w:tab w:val="left" w:pos="57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42DAD">
        <w:rPr>
          <w:rFonts w:ascii="Times New Roman" w:hAnsi="Times New Roman" w:cs="Times New Roman"/>
          <w:b/>
          <w:color w:val="FF0000"/>
          <w:sz w:val="24"/>
          <w:szCs w:val="24"/>
        </w:rPr>
        <w:t>ПОИСК. ИССЛЕДОВАНИЯ. ЭКСПЕРИМЕНТ</w:t>
      </w:r>
    </w:p>
    <w:p w:rsidR="00176942" w:rsidRDefault="00176942" w:rsidP="00176942">
      <w:pPr>
        <w:tabs>
          <w:tab w:val="left" w:pos="3524"/>
          <w:tab w:val="left" w:pos="57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3CD5" w:rsidRPr="00176942" w:rsidRDefault="009253CE" w:rsidP="00176942">
      <w:pPr>
        <w:tabs>
          <w:tab w:val="left" w:pos="3524"/>
          <w:tab w:val="left" w:pos="57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42DAD">
        <w:rPr>
          <w:rFonts w:ascii="Times New Roman" w:hAnsi="Times New Roman" w:cs="Times New Roman"/>
          <w:b/>
          <w:sz w:val="24"/>
          <w:szCs w:val="24"/>
        </w:rPr>
        <w:t>КОЗЫКЕЕВА Р.А., ДАТХАЕВ У.М., ПАТСАЕВ А.Қ., КОЗЫКЕЕВА Р.А.</w:t>
      </w:r>
      <w:r w:rsidRPr="00A42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sz w:val="24"/>
          <w:szCs w:val="24"/>
        </w:rPr>
        <w:t>Микробиологиялық</w:t>
      </w:r>
      <w:proofErr w:type="spellEnd"/>
      <w:r w:rsidRPr="00A42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sz w:val="24"/>
          <w:szCs w:val="24"/>
        </w:rPr>
        <w:t>тазалық</w:t>
      </w:r>
      <w:proofErr w:type="spellEnd"/>
      <w:r w:rsidRPr="00A42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sz w:val="24"/>
          <w:szCs w:val="24"/>
        </w:rPr>
        <w:t>азиялық</w:t>
      </w:r>
      <w:proofErr w:type="spellEnd"/>
      <w:r w:rsidRPr="00A42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sz w:val="24"/>
          <w:szCs w:val="24"/>
        </w:rPr>
        <w:t>бүрметікеннің</w:t>
      </w:r>
      <w:proofErr w:type="spellEnd"/>
      <w:r w:rsidRPr="00A42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i/>
          <w:sz w:val="24"/>
          <w:szCs w:val="24"/>
        </w:rPr>
        <w:t>Agrimona</w:t>
      </w:r>
      <w:proofErr w:type="spellEnd"/>
      <w:r w:rsidRPr="00A42D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i/>
          <w:sz w:val="24"/>
          <w:szCs w:val="24"/>
        </w:rPr>
        <w:t>asiatica</w:t>
      </w:r>
      <w:proofErr w:type="spellEnd"/>
      <w:r w:rsidRPr="00A42D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i/>
          <w:sz w:val="24"/>
          <w:szCs w:val="24"/>
        </w:rPr>
        <w:t>Juz</w:t>
      </w:r>
      <w:proofErr w:type="spellEnd"/>
      <w:r w:rsidRPr="00A42DAD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A42DAD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A42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sz w:val="24"/>
          <w:szCs w:val="24"/>
        </w:rPr>
        <w:t>ү</w:t>
      </w:r>
      <w:proofErr w:type="gramStart"/>
      <w:r w:rsidRPr="00A42DAD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A42DAD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42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sz w:val="24"/>
          <w:szCs w:val="24"/>
        </w:rPr>
        <w:t>бөлігінен</w:t>
      </w:r>
      <w:proofErr w:type="spellEnd"/>
      <w:r w:rsidRPr="00A42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sz w:val="24"/>
          <w:szCs w:val="24"/>
        </w:rPr>
        <w:t>алынған</w:t>
      </w:r>
      <w:proofErr w:type="spellEnd"/>
      <w:r w:rsidRPr="00A42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sz w:val="24"/>
          <w:szCs w:val="24"/>
        </w:rPr>
        <w:t>құрғақ</w:t>
      </w:r>
      <w:proofErr w:type="spellEnd"/>
      <w:r w:rsidRPr="00A42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sz w:val="24"/>
          <w:szCs w:val="24"/>
        </w:rPr>
        <w:t>сығындының</w:t>
      </w:r>
      <w:proofErr w:type="spellEnd"/>
      <w:r w:rsidRPr="00A42DAD">
        <w:rPr>
          <w:rFonts w:ascii="Times New Roman" w:hAnsi="Times New Roman" w:cs="Times New Roman"/>
          <w:sz w:val="24"/>
          <w:szCs w:val="24"/>
        </w:rPr>
        <w:t xml:space="preserve"> сапа </w:t>
      </w:r>
      <w:proofErr w:type="spellStart"/>
      <w:r w:rsidRPr="00A42DAD">
        <w:rPr>
          <w:rFonts w:ascii="Times New Roman" w:hAnsi="Times New Roman" w:cs="Times New Roman"/>
          <w:sz w:val="24"/>
          <w:szCs w:val="24"/>
        </w:rPr>
        <w:t>көрсеткіші</w:t>
      </w:r>
      <w:proofErr w:type="spellEnd"/>
      <w:r w:rsidRPr="00A42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="00FD3CD5" w:rsidRPr="00A42DAD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FD3CD5" w:rsidRPr="00A42DAD">
        <w:rPr>
          <w:rFonts w:ascii="Times New Roman" w:hAnsi="Times New Roman" w:cs="Times New Roman"/>
          <w:b/>
          <w:sz w:val="24"/>
          <w:szCs w:val="24"/>
        </w:rPr>
        <w:t>25</w:t>
      </w:r>
    </w:p>
    <w:p w:rsidR="00FD3CD5" w:rsidRPr="00A42DAD" w:rsidRDefault="00FD3CD5" w:rsidP="00A42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2DAD">
        <w:rPr>
          <w:rFonts w:ascii="Times New Roman" w:hAnsi="Times New Roman" w:cs="Times New Roman"/>
          <w:b/>
          <w:bCs/>
          <w:sz w:val="24"/>
          <w:szCs w:val="24"/>
        </w:rPr>
        <w:t>АҢДАТПА</w:t>
      </w:r>
    </w:p>
    <w:p w:rsidR="00FD3CD5" w:rsidRPr="00A42DAD" w:rsidRDefault="00FD3CD5" w:rsidP="00A42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Дә</w:t>
      </w:r>
      <w:proofErr w:type="gram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A42DAD">
        <w:rPr>
          <w:rFonts w:ascii="Times New Roman" w:hAnsi="Times New Roman" w:cs="Times New Roman"/>
          <w:color w:val="000000"/>
          <w:sz w:val="24"/>
          <w:szCs w:val="24"/>
        </w:rPr>
        <w:t>ілік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заттарды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өндіруден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бастап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тұтынушыға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дейінгі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барлық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кезеңдерде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сапасыз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дәрі-дәрмектерді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өндіру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ықтималдығын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бағалау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сапаны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қамтамасыз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ететін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бақылау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жүйесін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жетілдіру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қазіргі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кездің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өзекті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талабы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Препараттың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қ</w:t>
      </w:r>
      <w:proofErr w:type="gram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ау</w:t>
      </w:r>
      <w:proofErr w:type="gramEnd"/>
      <w:r w:rsidRPr="00A42DAD">
        <w:rPr>
          <w:rFonts w:ascii="Times New Roman" w:hAnsi="Times New Roman" w:cs="Times New Roman"/>
          <w:color w:val="000000"/>
          <w:sz w:val="24"/>
          <w:szCs w:val="24"/>
        </w:rPr>
        <w:t>іпсіздігі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тікелей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оның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микробиологиялық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көрсеткіштеріне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тәуелді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3CD5" w:rsidRPr="00A42DAD" w:rsidRDefault="00FD3CD5" w:rsidP="00A42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Бұл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мақалада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Қ</w:t>
      </w:r>
      <w:proofErr w:type="gram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Фармакопеясының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талаптарына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Азиялық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бүрметікеннің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жер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үсті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бөліктерінен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алынған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құрғақ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сығындының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микробиологиялық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тазалығын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зерттеу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нәтижелері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келтірілген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842D8" w:rsidRPr="00A42DAD" w:rsidRDefault="00FD3CD5" w:rsidP="00A42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42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Түйін</w:t>
      </w:r>
      <w:proofErr w:type="spellEnd"/>
      <w:r w:rsidRPr="00A42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сөздер</w:t>
      </w:r>
      <w:proofErr w:type="spellEnd"/>
      <w:r w:rsidRPr="00A42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микроағзалар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сапаны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ба</w:t>
      </w:r>
      <w:proofErr w:type="gramEnd"/>
      <w:r w:rsidRPr="00A42DAD">
        <w:rPr>
          <w:rFonts w:ascii="Times New Roman" w:hAnsi="Times New Roman" w:cs="Times New Roman"/>
          <w:color w:val="000000"/>
          <w:sz w:val="24"/>
          <w:szCs w:val="24"/>
        </w:rPr>
        <w:t>қылау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қауіпсіздік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микробиологиялық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тазалық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идентификациялау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фитопрепараттар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Азиялық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бүрметікен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3CD5" w:rsidRPr="00A42DAD" w:rsidRDefault="00FD3CD5" w:rsidP="00A42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6F03" w:rsidRPr="00A42DAD" w:rsidRDefault="00F842D8" w:rsidP="00A42DAD">
      <w:pPr>
        <w:tabs>
          <w:tab w:val="left" w:pos="3524"/>
          <w:tab w:val="left" w:pos="57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DAD">
        <w:rPr>
          <w:rFonts w:ascii="Times New Roman" w:hAnsi="Times New Roman" w:cs="Times New Roman"/>
          <w:b/>
          <w:sz w:val="24"/>
          <w:szCs w:val="24"/>
        </w:rPr>
        <w:t>ӘБДІМӘЛІК Н.Ж., ЖУМАГАЛИЕВА Ш.Н., АБИЛОВ Ж.А., СУЛТАНОВА Н.А.</w:t>
      </w:r>
      <w:r w:rsidRPr="00A42DAD">
        <w:rPr>
          <w:rFonts w:ascii="Times New Roman" w:hAnsi="Times New Roman" w:cs="Times New Roman"/>
          <w:sz w:val="24"/>
          <w:szCs w:val="24"/>
        </w:rPr>
        <w:t xml:space="preserve"> Свойства </w:t>
      </w:r>
      <w:proofErr w:type="spellStart"/>
      <w:r w:rsidRPr="00A42DAD">
        <w:rPr>
          <w:rFonts w:ascii="Times New Roman" w:hAnsi="Times New Roman" w:cs="Times New Roman"/>
          <w:sz w:val="24"/>
          <w:szCs w:val="24"/>
        </w:rPr>
        <w:t>фитопленок</w:t>
      </w:r>
      <w:proofErr w:type="spellEnd"/>
      <w:r w:rsidRPr="00A42DAD">
        <w:rPr>
          <w:rFonts w:ascii="Times New Roman" w:hAnsi="Times New Roman" w:cs="Times New Roman"/>
          <w:sz w:val="24"/>
          <w:szCs w:val="24"/>
        </w:rPr>
        <w:t xml:space="preserve"> на основе поливинилового спирта и </w:t>
      </w:r>
      <w:proofErr w:type="spellStart"/>
      <w:r w:rsidRPr="00A42DAD">
        <w:rPr>
          <w:rFonts w:ascii="Times New Roman" w:hAnsi="Times New Roman" w:cs="Times New Roman"/>
          <w:sz w:val="24"/>
          <w:szCs w:val="24"/>
        </w:rPr>
        <w:t>бентонитовой</w:t>
      </w:r>
      <w:proofErr w:type="spellEnd"/>
      <w:r w:rsidRPr="00A42DAD">
        <w:rPr>
          <w:rFonts w:ascii="Times New Roman" w:hAnsi="Times New Roman" w:cs="Times New Roman"/>
          <w:sz w:val="24"/>
          <w:szCs w:val="24"/>
        </w:rPr>
        <w:t xml:space="preserve"> глины</w:t>
      </w:r>
      <w:r w:rsidR="00FD3CD5" w:rsidRPr="00A42DAD">
        <w:rPr>
          <w:rFonts w:ascii="Times New Roman" w:hAnsi="Times New Roman" w:cs="Times New Roman"/>
          <w:sz w:val="24"/>
          <w:szCs w:val="24"/>
        </w:rPr>
        <w:t>……………………</w:t>
      </w:r>
      <w:r w:rsidR="00972BB7" w:rsidRPr="00A42D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  <w:r w:rsidR="00FD3CD5" w:rsidRPr="00A42DAD">
        <w:rPr>
          <w:rFonts w:ascii="Times New Roman" w:hAnsi="Times New Roman" w:cs="Times New Roman"/>
          <w:b/>
          <w:sz w:val="24"/>
          <w:szCs w:val="24"/>
        </w:rPr>
        <w:t>29</w:t>
      </w:r>
    </w:p>
    <w:p w:rsidR="007D070D" w:rsidRPr="00A42DAD" w:rsidRDefault="007D070D" w:rsidP="00A42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DA0000"/>
          <w:sz w:val="24"/>
          <w:szCs w:val="24"/>
        </w:rPr>
      </w:pPr>
      <w:r w:rsidRPr="00A42DAD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D070D" w:rsidRPr="00A42DAD" w:rsidRDefault="007D070D" w:rsidP="00A42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DAD">
        <w:rPr>
          <w:rFonts w:ascii="Times New Roman" w:hAnsi="Times New Roman" w:cs="Times New Roman"/>
          <w:color w:val="000000"/>
          <w:sz w:val="24"/>
          <w:szCs w:val="24"/>
        </w:rPr>
        <w:t>В статье приведены показатели, необходимые для</w:t>
      </w:r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стандартизации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фитопленок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сухого экстракта из растения </w:t>
      </w:r>
      <w:proofErr w:type="spellStart"/>
      <w:r w:rsidRPr="00A42D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Tamarix</w:t>
      </w:r>
      <w:proofErr w:type="spellEnd"/>
      <w:r w:rsidRPr="00A42D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hispida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>, поливинилового</w:t>
      </w:r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спирта и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бентонитовой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глины. Рассматривались качественные показатели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фитопленок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, такие как влагопоглощение,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влагопроницаемость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>, толщина пленки</w:t>
      </w:r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42DAD">
        <w:rPr>
          <w:rFonts w:ascii="Times New Roman" w:hAnsi="Times New Roman" w:cs="Times New Roman"/>
          <w:color w:val="000000"/>
          <w:sz w:val="24"/>
          <w:szCs w:val="24"/>
        </w:rPr>
        <w:t>предельная</w:t>
      </w:r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2DAD">
        <w:rPr>
          <w:rFonts w:ascii="Times New Roman" w:hAnsi="Times New Roman" w:cs="Times New Roman"/>
          <w:color w:val="000000"/>
          <w:sz w:val="24"/>
          <w:szCs w:val="24"/>
        </w:rPr>
        <w:t>разгрузочная сила и пределы растяжения. На основании результатов исследования нами</w:t>
      </w:r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были предложены варианты состава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фитопленок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ТН-10 на основе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бентонитовой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глины и поливинило</w:t>
      </w:r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вого </w:t>
      </w:r>
      <w:r w:rsidRPr="00A42DAD">
        <w:rPr>
          <w:rFonts w:ascii="Times New Roman" w:hAnsi="Times New Roman" w:cs="Times New Roman"/>
          <w:color w:val="000000"/>
          <w:sz w:val="24"/>
          <w:szCs w:val="24"/>
        </w:rPr>
        <w:t>спирта.</w:t>
      </w:r>
    </w:p>
    <w:p w:rsidR="00FD3CD5" w:rsidRPr="00A42DAD" w:rsidRDefault="007D070D" w:rsidP="00A42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Ключевые слова: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бентонитовая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глина,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тамариксидин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, поливиниловый спирт, глицерин, пленка,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влагопроницаемость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>, влагопоглощение.</w:t>
      </w:r>
    </w:p>
    <w:p w:rsidR="00972BB7" w:rsidRPr="00A42DAD" w:rsidRDefault="00972BB7" w:rsidP="00A42DAD">
      <w:pPr>
        <w:tabs>
          <w:tab w:val="left" w:pos="3524"/>
          <w:tab w:val="left" w:pos="57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76F03" w:rsidRPr="00A42DAD" w:rsidRDefault="00876F03" w:rsidP="00A42DAD">
      <w:pPr>
        <w:tabs>
          <w:tab w:val="left" w:pos="3524"/>
          <w:tab w:val="left" w:pos="57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42DAD">
        <w:rPr>
          <w:rFonts w:ascii="Times New Roman" w:hAnsi="Times New Roman" w:cs="Times New Roman"/>
          <w:b/>
          <w:color w:val="FF0000"/>
          <w:sz w:val="24"/>
          <w:szCs w:val="24"/>
        </w:rPr>
        <w:t>ФАРМАКОГНОЗИЯ</w:t>
      </w:r>
    </w:p>
    <w:p w:rsidR="00876F03" w:rsidRPr="00A42DAD" w:rsidRDefault="00876F03" w:rsidP="00A42DAD">
      <w:pPr>
        <w:tabs>
          <w:tab w:val="left" w:pos="3524"/>
          <w:tab w:val="left" w:pos="57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F03" w:rsidRPr="00A42DAD" w:rsidRDefault="00876F03" w:rsidP="00A42D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2DAD">
        <w:rPr>
          <w:rFonts w:ascii="Times New Roman" w:hAnsi="Times New Roman" w:cs="Times New Roman"/>
          <w:sz w:val="24"/>
          <w:szCs w:val="24"/>
          <w:lang w:val="kk-KZ"/>
        </w:rPr>
        <w:t xml:space="preserve">ТЛЕУБАЕВА М.И., ИШМУРАТОВА М.Ю., ДАТХАЕВ У.М., </w:t>
      </w:r>
      <w:r w:rsidRPr="00A42DAD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</w:t>
      </w:r>
      <w:r w:rsidRPr="00A42DAD">
        <w:rPr>
          <w:rFonts w:ascii="Times New Roman" w:hAnsi="Times New Roman" w:cs="Times New Roman"/>
          <w:sz w:val="24"/>
          <w:szCs w:val="24"/>
          <w:lang w:val="kk-KZ"/>
        </w:rPr>
        <w:t>ГЕМЕДЖИЕВА Н.Г., ФЛИСЮК Е.В.,</w:t>
      </w:r>
      <w:r w:rsidRPr="00A42DAD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</w:t>
      </w:r>
      <w:r w:rsidRPr="00A42DAD">
        <w:rPr>
          <w:rFonts w:ascii="Times New Roman" w:hAnsi="Times New Roman" w:cs="Times New Roman"/>
          <w:sz w:val="24"/>
          <w:szCs w:val="24"/>
          <w:lang w:val="kk-KZ"/>
        </w:rPr>
        <w:t>АБДУЛЛАБЕКОВА Р.М.</w:t>
      </w:r>
      <w:r w:rsidRPr="00A42DAD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</w:t>
      </w:r>
      <w:r w:rsidRPr="00A42DAD">
        <w:rPr>
          <w:rFonts w:ascii="Times New Roman" w:hAnsi="Times New Roman" w:cs="Times New Roman"/>
          <w:sz w:val="24"/>
          <w:szCs w:val="24"/>
          <w:lang w:val="kk-KZ"/>
        </w:rPr>
        <w:t xml:space="preserve">Фармакогностическое изучение сырья </w:t>
      </w:r>
      <w:proofErr w:type="spellStart"/>
      <w:r w:rsidRPr="00A42DAD">
        <w:rPr>
          <w:rFonts w:ascii="Times New Roman" w:hAnsi="Times New Roman" w:cs="Times New Roman"/>
          <w:i/>
          <w:sz w:val="24"/>
          <w:szCs w:val="24"/>
          <w:lang w:val="en-US"/>
        </w:rPr>
        <w:t>Portulaca</w:t>
      </w:r>
      <w:proofErr w:type="spellEnd"/>
      <w:r w:rsidRPr="00A42D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i/>
          <w:sz w:val="24"/>
          <w:szCs w:val="24"/>
          <w:lang w:val="en-US"/>
        </w:rPr>
        <w:t>oleracea</w:t>
      </w:r>
      <w:proofErr w:type="spellEnd"/>
      <w:r w:rsidRPr="00A42D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2DAD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="00972BB7" w:rsidRPr="00A42DAD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</w:t>
      </w:r>
      <w:r w:rsidR="00972BB7" w:rsidRPr="00A42DAD">
        <w:rPr>
          <w:rFonts w:ascii="Times New Roman" w:hAnsi="Times New Roman" w:cs="Times New Roman"/>
          <w:b/>
          <w:sz w:val="24"/>
          <w:szCs w:val="24"/>
        </w:rPr>
        <w:t>33</w:t>
      </w:r>
    </w:p>
    <w:p w:rsidR="00972BB7" w:rsidRPr="00A42DAD" w:rsidRDefault="00972BB7" w:rsidP="00A42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DA0000"/>
          <w:sz w:val="24"/>
          <w:szCs w:val="24"/>
        </w:rPr>
      </w:pPr>
    </w:p>
    <w:p w:rsidR="00972BB7" w:rsidRPr="00A42DAD" w:rsidRDefault="00972BB7" w:rsidP="00A42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2DAD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972BB7" w:rsidRPr="00A42DAD" w:rsidRDefault="00972BB7" w:rsidP="00A42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DAD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данной статье приведены результаты макроскопического и микроскопического анализа травы</w:t>
      </w:r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Portulaca</w:t>
      </w:r>
      <w:proofErr w:type="spellEnd"/>
      <w:r w:rsidRPr="00A42D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oleracea</w:t>
      </w:r>
      <w:proofErr w:type="spellEnd"/>
      <w:r w:rsidRPr="00A42D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L. </w:t>
      </w:r>
      <w:r w:rsidRPr="00A42DAD">
        <w:rPr>
          <w:rFonts w:ascii="Times New Roman" w:hAnsi="Times New Roman" w:cs="Times New Roman"/>
          <w:color w:val="000000"/>
          <w:sz w:val="24"/>
          <w:szCs w:val="24"/>
        </w:rPr>
        <w:t>Установлены показатели подлинности и идентичности лекарственного растительного сырья. Как известно, макроскопическими показателями растения (портулака огородного) являются</w:t>
      </w:r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2DAD">
        <w:rPr>
          <w:rFonts w:ascii="Times New Roman" w:hAnsi="Times New Roman" w:cs="Times New Roman"/>
          <w:color w:val="000000"/>
          <w:sz w:val="24"/>
          <w:szCs w:val="24"/>
        </w:rPr>
        <w:t>форма, размеры листьев и стелющихся побегов</w:t>
      </w:r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42DAD">
        <w:rPr>
          <w:rFonts w:ascii="Times New Roman" w:hAnsi="Times New Roman" w:cs="Times New Roman"/>
          <w:color w:val="000000"/>
          <w:sz w:val="24"/>
          <w:szCs w:val="24"/>
        </w:rPr>
        <w:t>строение элементов цветка. В качестве микроскопических признаков определены форма и размеры</w:t>
      </w:r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клеток эпидермиса листа, наличие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схизогенных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вместилищ,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кристаллоносная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обкладка вдоль жилок листа и венчика цветка, а также строение проводящих</w:t>
      </w:r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2DAD">
        <w:rPr>
          <w:rFonts w:ascii="Times New Roman" w:hAnsi="Times New Roman" w:cs="Times New Roman"/>
          <w:color w:val="000000"/>
          <w:sz w:val="24"/>
          <w:szCs w:val="24"/>
        </w:rPr>
        <w:t>пучков и наличие многоугольных кристаллов оксалата кальция в строении стебля. Определены товароведческие показатели сырья исследуемого вида.</w:t>
      </w:r>
    </w:p>
    <w:p w:rsidR="00972BB7" w:rsidRDefault="00972BB7" w:rsidP="00A42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Ключевые слова: </w:t>
      </w:r>
      <w:proofErr w:type="spellStart"/>
      <w:r w:rsidRPr="00A42D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Portulaca</w:t>
      </w:r>
      <w:proofErr w:type="spellEnd"/>
      <w:r w:rsidRPr="00A42D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oleracea</w:t>
      </w:r>
      <w:proofErr w:type="spellEnd"/>
      <w:r w:rsidRPr="00A42D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L., </w:t>
      </w:r>
      <w:r w:rsidRPr="00A42DAD">
        <w:rPr>
          <w:rFonts w:ascii="Times New Roman" w:hAnsi="Times New Roman" w:cs="Times New Roman"/>
          <w:color w:val="000000"/>
          <w:sz w:val="24"/>
          <w:szCs w:val="24"/>
        </w:rPr>
        <w:t>лекарственное сырье, портулак огородный, морфологический анализ, микроскопический анализ, диагностические признаки, товароведческий анализ.</w:t>
      </w:r>
      <w:bookmarkStart w:id="0" w:name="_GoBack"/>
      <w:bookmarkEnd w:id="0"/>
    </w:p>
    <w:p w:rsidR="00A42DAD" w:rsidRPr="00A42DAD" w:rsidRDefault="00A42DAD" w:rsidP="00A42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4D30" w:rsidRPr="00A42DAD" w:rsidRDefault="00564D30" w:rsidP="00A42DA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42DAD">
        <w:rPr>
          <w:rFonts w:ascii="Times New Roman" w:hAnsi="Times New Roman" w:cs="Times New Roman"/>
          <w:b/>
          <w:color w:val="FF0000"/>
          <w:sz w:val="24"/>
          <w:szCs w:val="24"/>
        </w:rPr>
        <w:t>ФАРМА</w:t>
      </w:r>
      <w:r w:rsidR="006B015E" w:rsidRPr="00A42DAD">
        <w:rPr>
          <w:rFonts w:ascii="Times New Roman" w:hAnsi="Times New Roman" w:cs="Times New Roman"/>
          <w:b/>
          <w:color w:val="FF0000"/>
          <w:sz w:val="24"/>
          <w:szCs w:val="24"/>
        </w:rPr>
        <w:t>КО</w:t>
      </w:r>
      <w:r w:rsidRPr="00A42DAD">
        <w:rPr>
          <w:rFonts w:ascii="Times New Roman" w:hAnsi="Times New Roman" w:cs="Times New Roman"/>
          <w:b/>
          <w:color w:val="FF0000"/>
          <w:sz w:val="24"/>
          <w:szCs w:val="24"/>
        </w:rPr>
        <w:t>ЭКОНОМИКА</w:t>
      </w:r>
    </w:p>
    <w:p w:rsidR="00564D30" w:rsidRPr="00A42DAD" w:rsidRDefault="00564D30" w:rsidP="00A42DAD">
      <w:pPr>
        <w:widowControl w:val="0"/>
        <w:spacing w:after="0" w:line="240" w:lineRule="auto"/>
        <w:ind w:left="1" w:right="-63"/>
        <w:jc w:val="both"/>
        <w:rPr>
          <w:rFonts w:ascii="Times New Roman" w:eastAsia="Times New Roman" w:hAnsi="Times New Roman" w:cs="Times New Roman"/>
          <w:bCs/>
          <w:spacing w:val="4"/>
          <w:w w:val="101"/>
          <w:sz w:val="24"/>
          <w:szCs w:val="24"/>
          <w:lang w:val="kk-KZ" w:eastAsia="ru-RU"/>
        </w:rPr>
      </w:pPr>
      <w:r w:rsidRPr="00A42DAD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СЕРИКБАЕВА Э.А., ЕЛШИБЕКОВА К.М., ДАТХАЕВ У.М., УМУРЗАХОВА Г.Ж., ЖАКИПБЕКОВ К.С.</w:t>
      </w:r>
      <w:r w:rsidRPr="00A42DAD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</w:t>
      </w:r>
      <w:r w:rsidRPr="00A42DAD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val="kk-KZ" w:eastAsia="ru-RU"/>
        </w:rPr>
        <w:t>Қ</w:t>
      </w:r>
      <w:r w:rsidRPr="00A42D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азақстан</w:t>
      </w:r>
      <w:r w:rsidRPr="00A42DAD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val="kk-KZ" w:eastAsia="ru-RU"/>
        </w:rPr>
        <w:t xml:space="preserve"> Р</w:t>
      </w:r>
      <w:r w:rsidRPr="00A42D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еспубликасныда</w:t>
      </w:r>
      <w:r w:rsidRPr="00A42DAD">
        <w:rPr>
          <w:rFonts w:ascii="Times New Roman" w:eastAsia="Times New Roman" w:hAnsi="Times New Roman" w:cs="Times New Roman"/>
          <w:caps/>
          <w:color w:val="000000"/>
          <w:spacing w:val="79"/>
          <w:sz w:val="24"/>
          <w:szCs w:val="24"/>
          <w:lang w:val="kk-KZ" w:eastAsia="ru-RU"/>
        </w:rPr>
        <w:t xml:space="preserve"> </w:t>
      </w:r>
      <w:r w:rsidRPr="00A42DA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фармац</w:t>
      </w:r>
      <w:r w:rsidRPr="00A42DAD">
        <w:rPr>
          <w:rFonts w:ascii="Times New Roman" w:eastAsia="Times New Roman" w:hAnsi="Times New Roman" w:cs="Times New Roman"/>
          <w:bCs/>
          <w:w w:val="101"/>
          <w:sz w:val="24"/>
          <w:szCs w:val="24"/>
          <w:lang w:val="kk-KZ" w:eastAsia="ru-RU"/>
        </w:rPr>
        <w:t>е</w:t>
      </w:r>
      <w:r w:rsidRPr="00A42DAD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k-KZ" w:eastAsia="ru-RU"/>
        </w:rPr>
        <w:t>в</w:t>
      </w:r>
      <w:r w:rsidRPr="00A42DA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тик</w:t>
      </w:r>
      <w:r w:rsidRPr="00A42DA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kk-KZ" w:eastAsia="ru-RU"/>
        </w:rPr>
        <w:t>ал</w:t>
      </w:r>
      <w:r w:rsidRPr="00A42DA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ық</w:t>
      </w:r>
      <w:r w:rsidRPr="00A42DAD">
        <w:rPr>
          <w:rFonts w:ascii="Times New Roman" w:eastAsia="Times New Roman" w:hAnsi="Times New Roman" w:cs="Times New Roman"/>
          <w:spacing w:val="80"/>
          <w:sz w:val="24"/>
          <w:szCs w:val="24"/>
          <w:lang w:val="kk-KZ" w:eastAsia="ru-RU"/>
        </w:rPr>
        <w:t xml:space="preserve"> </w:t>
      </w:r>
      <w:r w:rsidRPr="00A42DAD">
        <w:rPr>
          <w:rFonts w:ascii="Times New Roman" w:eastAsia="Times New Roman" w:hAnsi="Times New Roman" w:cs="Times New Roman"/>
          <w:bCs/>
          <w:w w:val="101"/>
          <w:sz w:val="24"/>
          <w:szCs w:val="24"/>
          <w:lang w:val="kk-KZ" w:eastAsia="ru-RU"/>
        </w:rPr>
        <w:t xml:space="preserve">кластерді құрудың </w:t>
      </w:r>
      <w:r w:rsidRPr="00A42DA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қа</w:t>
      </w:r>
      <w:r w:rsidRPr="00A42DAD">
        <w:rPr>
          <w:rFonts w:ascii="Times New Roman" w:eastAsia="Times New Roman" w:hAnsi="Times New Roman" w:cs="Times New Roman"/>
          <w:bCs/>
          <w:w w:val="101"/>
          <w:sz w:val="24"/>
          <w:szCs w:val="24"/>
          <w:lang w:val="kk-KZ" w:eastAsia="ru-RU"/>
        </w:rPr>
        <w:t>з</w:t>
      </w:r>
      <w:r w:rsidRPr="00A42DAD">
        <w:rPr>
          <w:rFonts w:ascii="Times New Roman" w:eastAsia="Times New Roman" w:hAnsi="Times New Roman" w:cs="Times New Roman"/>
          <w:bCs/>
          <w:spacing w:val="1"/>
          <w:w w:val="101"/>
          <w:sz w:val="24"/>
          <w:szCs w:val="24"/>
          <w:lang w:val="kk-KZ" w:eastAsia="ru-RU"/>
        </w:rPr>
        <w:t>і</w:t>
      </w:r>
      <w:r w:rsidRPr="00A42DA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р</w:t>
      </w:r>
      <w:r w:rsidRPr="00A42DAD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k-KZ" w:eastAsia="ru-RU"/>
        </w:rPr>
        <w:t>г</w:t>
      </w:r>
      <w:r w:rsidRPr="00A42DAD">
        <w:rPr>
          <w:rFonts w:ascii="Times New Roman" w:eastAsia="Times New Roman" w:hAnsi="Times New Roman" w:cs="Times New Roman"/>
          <w:bCs/>
          <w:w w:val="101"/>
          <w:sz w:val="24"/>
          <w:szCs w:val="24"/>
          <w:lang w:val="kk-KZ" w:eastAsia="ru-RU"/>
        </w:rPr>
        <w:t>і</w:t>
      </w:r>
      <w:r w:rsidRPr="00A42D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42DA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жағдайы</w:t>
      </w:r>
      <w:r w:rsidRPr="00A42D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42DAD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k-KZ" w:eastAsia="ru-RU"/>
        </w:rPr>
        <w:t>м</w:t>
      </w:r>
      <w:r w:rsidRPr="00A42DAD">
        <w:rPr>
          <w:rFonts w:ascii="Times New Roman" w:eastAsia="Times New Roman" w:hAnsi="Times New Roman" w:cs="Times New Roman"/>
          <w:bCs/>
          <w:spacing w:val="-2"/>
          <w:w w:val="101"/>
          <w:sz w:val="24"/>
          <w:szCs w:val="24"/>
          <w:lang w:val="kk-KZ" w:eastAsia="ru-RU"/>
        </w:rPr>
        <w:t>е</w:t>
      </w:r>
      <w:r w:rsidRPr="00A42DA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н</w:t>
      </w:r>
      <w:r w:rsidRPr="00A42DAD">
        <w:rPr>
          <w:rFonts w:ascii="Times New Roman" w:eastAsia="Times New Roman" w:hAnsi="Times New Roman" w:cs="Times New Roman"/>
          <w:spacing w:val="67"/>
          <w:sz w:val="24"/>
          <w:szCs w:val="24"/>
          <w:lang w:val="kk-KZ" w:eastAsia="ru-RU"/>
        </w:rPr>
        <w:t xml:space="preserve"> </w:t>
      </w:r>
      <w:r w:rsidRPr="00A42DA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да</w:t>
      </w:r>
      <w:r w:rsidRPr="00A42DAD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kk-KZ" w:eastAsia="ru-RU"/>
        </w:rPr>
        <w:t>м</w:t>
      </w:r>
      <w:r w:rsidRPr="00A42DAD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kk-KZ" w:eastAsia="ru-RU"/>
        </w:rPr>
        <w:t>у</w:t>
      </w:r>
      <w:r w:rsidRPr="00A42DAD">
        <w:rPr>
          <w:rFonts w:ascii="Times New Roman" w:eastAsia="Times New Roman" w:hAnsi="Times New Roman" w:cs="Times New Roman"/>
          <w:spacing w:val="70"/>
          <w:sz w:val="24"/>
          <w:szCs w:val="24"/>
          <w:lang w:val="kk-KZ" w:eastAsia="ru-RU"/>
        </w:rPr>
        <w:t xml:space="preserve"> </w:t>
      </w:r>
      <w:r w:rsidRPr="00A42DAD">
        <w:rPr>
          <w:rFonts w:ascii="Times New Roman" w:eastAsia="Times New Roman" w:hAnsi="Times New Roman" w:cs="Times New Roman"/>
          <w:bCs/>
          <w:w w:val="101"/>
          <w:sz w:val="24"/>
          <w:szCs w:val="24"/>
          <w:lang w:val="kk-KZ" w:eastAsia="ru-RU"/>
        </w:rPr>
        <w:t>е</w:t>
      </w:r>
      <w:r w:rsidRPr="00A42DA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р</w:t>
      </w:r>
      <w:r w:rsidRPr="00A42DAD">
        <w:rPr>
          <w:rFonts w:ascii="Times New Roman" w:eastAsia="Times New Roman" w:hAnsi="Times New Roman" w:cs="Times New Roman"/>
          <w:bCs/>
          <w:w w:val="101"/>
          <w:sz w:val="24"/>
          <w:szCs w:val="24"/>
          <w:lang w:val="kk-KZ" w:eastAsia="ru-RU"/>
        </w:rPr>
        <w:t>е</w:t>
      </w:r>
      <w:r w:rsidRPr="00A42DA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</w:t>
      </w:r>
      <w:r w:rsidRPr="00A42DAD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k-KZ" w:eastAsia="ru-RU"/>
        </w:rPr>
        <w:t>ш</w:t>
      </w:r>
      <w:r w:rsidRPr="00A42DAD">
        <w:rPr>
          <w:rFonts w:ascii="Times New Roman" w:eastAsia="Times New Roman" w:hAnsi="Times New Roman" w:cs="Times New Roman"/>
          <w:bCs/>
          <w:w w:val="101"/>
          <w:sz w:val="24"/>
          <w:szCs w:val="24"/>
          <w:lang w:val="kk-KZ" w:eastAsia="ru-RU"/>
        </w:rPr>
        <w:t>е</w:t>
      </w:r>
      <w:r w:rsidRPr="00A42DA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kk-KZ" w:eastAsia="ru-RU"/>
        </w:rPr>
        <w:t>л</w:t>
      </w:r>
      <w:r w:rsidRPr="00A42DAD">
        <w:rPr>
          <w:rFonts w:ascii="Times New Roman" w:eastAsia="Times New Roman" w:hAnsi="Times New Roman" w:cs="Times New Roman"/>
          <w:bCs/>
          <w:w w:val="101"/>
          <w:sz w:val="24"/>
          <w:szCs w:val="24"/>
          <w:lang w:val="kk-KZ" w:eastAsia="ru-RU"/>
        </w:rPr>
        <w:t>і</w:t>
      </w:r>
      <w:r w:rsidRPr="00A42DAD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kk-KZ" w:eastAsia="ru-RU"/>
        </w:rPr>
        <w:t>к</w:t>
      </w:r>
      <w:r w:rsidRPr="00A42DAD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kk-KZ" w:eastAsia="ru-RU"/>
        </w:rPr>
        <w:t>т</w:t>
      </w:r>
      <w:r w:rsidRPr="00A42DAD">
        <w:rPr>
          <w:rFonts w:ascii="Times New Roman" w:eastAsia="Times New Roman" w:hAnsi="Times New Roman" w:cs="Times New Roman"/>
          <w:bCs/>
          <w:w w:val="101"/>
          <w:sz w:val="24"/>
          <w:szCs w:val="24"/>
          <w:lang w:val="kk-KZ" w:eastAsia="ru-RU"/>
        </w:rPr>
        <w:t>е</w:t>
      </w:r>
      <w:r w:rsidRPr="00A42DAD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k-KZ" w:eastAsia="ru-RU"/>
        </w:rPr>
        <w:t>р</w:t>
      </w:r>
      <w:r w:rsidRPr="00A42DAD">
        <w:rPr>
          <w:rFonts w:ascii="Times New Roman" w:eastAsia="Times New Roman" w:hAnsi="Times New Roman" w:cs="Times New Roman"/>
          <w:bCs/>
          <w:spacing w:val="4"/>
          <w:w w:val="101"/>
          <w:sz w:val="24"/>
          <w:szCs w:val="24"/>
          <w:lang w:val="kk-KZ" w:eastAsia="ru-RU"/>
        </w:rPr>
        <w:t>і.</w:t>
      </w:r>
      <w:r w:rsidR="009C228F" w:rsidRPr="00A42DAD">
        <w:rPr>
          <w:rFonts w:ascii="Times New Roman" w:eastAsia="Times New Roman" w:hAnsi="Times New Roman" w:cs="Times New Roman"/>
          <w:bCs/>
          <w:spacing w:val="4"/>
          <w:w w:val="101"/>
          <w:sz w:val="24"/>
          <w:szCs w:val="24"/>
          <w:lang w:val="kk-KZ" w:eastAsia="ru-RU"/>
        </w:rPr>
        <w:t>......................................................................................................................</w:t>
      </w:r>
      <w:r w:rsidR="009C228F" w:rsidRPr="00A42DAD">
        <w:rPr>
          <w:rFonts w:ascii="Times New Roman" w:eastAsia="Times New Roman" w:hAnsi="Times New Roman" w:cs="Times New Roman"/>
          <w:b/>
          <w:bCs/>
          <w:spacing w:val="4"/>
          <w:w w:val="101"/>
          <w:sz w:val="24"/>
          <w:szCs w:val="24"/>
          <w:lang w:val="kk-KZ" w:eastAsia="ru-RU"/>
        </w:rPr>
        <w:t>38</w:t>
      </w:r>
    </w:p>
    <w:p w:rsidR="009C228F" w:rsidRPr="00A42DAD" w:rsidRDefault="009C228F" w:rsidP="00A42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DA0000"/>
          <w:sz w:val="24"/>
          <w:szCs w:val="24"/>
        </w:rPr>
      </w:pPr>
    </w:p>
    <w:p w:rsidR="009C228F" w:rsidRPr="00A42DAD" w:rsidRDefault="009C228F" w:rsidP="00A42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2DAD">
        <w:rPr>
          <w:rFonts w:ascii="Times New Roman" w:hAnsi="Times New Roman" w:cs="Times New Roman"/>
          <w:b/>
          <w:bCs/>
          <w:sz w:val="24"/>
          <w:szCs w:val="24"/>
        </w:rPr>
        <w:t>АҢДАТПА</w:t>
      </w:r>
    </w:p>
    <w:p w:rsidR="009C228F" w:rsidRPr="00A42DAD" w:rsidRDefault="009C228F" w:rsidP="00A42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Қазіргі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заманда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дә</w:t>
      </w:r>
      <w:proofErr w:type="gram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A42DAD">
        <w:rPr>
          <w:rFonts w:ascii="Times New Roman" w:hAnsi="Times New Roman" w:cs="Times New Roman"/>
          <w:color w:val="000000"/>
          <w:sz w:val="24"/>
          <w:szCs w:val="24"/>
        </w:rPr>
        <w:t>ілік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зат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медицина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саласында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өтемаңызды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рөл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атқарады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Фармацевтикалық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өнді</w:t>
      </w:r>
      <w:proofErr w:type="gram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A42DAD">
        <w:rPr>
          <w:rFonts w:ascii="Times New Roman" w:hAnsi="Times New Roman" w:cs="Times New Roman"/>
          <w:color w:val="000000"/>
          <w:sz w:val="24"/>
          <w:szCs w:val="24"/>
        </w:rPr>
        <w:t>іс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жоғары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технологиялық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ғылымды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көп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қажет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ететін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өнеркәсіп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салаларының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бірі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Қазақстанның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инновациялық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дамуының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локомотивтерінің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бірі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бола</w:t>
      </w:r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қалуда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Қазақстанның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фармацевтикалық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өндірісінің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басты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ерекшелігі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оның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импортқа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тәуелділігі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де,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экспортқа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өте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төмен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бағдар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табылады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Экспортқа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шығарылатын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өнімнің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үлесі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2012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жылдан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бастап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есеге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ұлғайып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біздің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республикада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өнді</w:t>
      </w:r>
      <w:proofErr w:type="gram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A42DAD">
        <w:rPr>
          <w:rFonts w:ascii="Times New Roman" w:hAnsi="Times New Roman" w:cs="Times New Roman"/>
          <w:color w:val="000000"/>
          <w:sz w:val="24"/>
          <w:szCs w:val="24"/>
        </w:rPr>
        <w:t>ілген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өнімнің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жалпы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көлемінің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6%-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ын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құрайды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Фармацевтикалық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өнімнің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негізгі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түрлерін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өнді</w:t>
      </w:r>
      <w:proofErr w:type="gram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ру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A42DAD">
        <w:rPr>
          <w:rFonts w:ascii="Times New Roman" w:hAnsi="Times New Roman" w:cs="Times New Roman"/>
          <w:color w:val="000000"/>
          <w:sz w:val="24"/>
          <w:szCs w:val="24"/>
        </w:rPr>
        <w:t>өлемінің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айтарлықтай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өсуі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фармацевтикалық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кластердің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құруына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мүмкіндік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береді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015E" w:rsidRPr="00A42DAD" w:rsidRDefault="009C228F" w:rsidP="00A42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42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Түйін</w:t>
      </w:r>
      <w:proofErr w:type="spellEnd"/>
      <w:r w:rsidRPr="00A42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сөздер</w:t>
      </w:r>
      <w:proofErr w:type="spellEnd"/>
      <w:r w:rsidRPr="00A42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фармацевтикалық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нарық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фармацевтикалық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өнді</w:t>
      </w:r>
      <w:proofErr w:type="gram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A42DAD">
        <w:rPr>
          <w:rFonts w:ascii="Times New Roman" w:hAnsi="Times New Roman" w:cs="Times New Roman"/>
          <w:color w:val="000000"/>
          <w:sz w:val="24"/>
          <w:szCs w:val="24"/>
        </w:rPr>
        <w:t>іс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фармацевтикалық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кластер,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қазіргі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жағдай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>, даму, импорт, экспорт.</w:t>
      </w:r>
    </w:p>
    <w:p w:rsidR="009C228F" w:rsidRPr="00A42DAD" w:rsidRDefault="009C228F" w:rsidP="00A42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4D30" w:rsidRPr="00A42DAD" w:rsidRDefault="006B015E" w:rsidP="00A42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42DAD">
        <w:rPr>
          <w:rFonts w:ascii="Times New Roman" w:hAnsi="Times New Roman" w:cs="Times New Roman"/>
          <w:b/>
          <w:sz w:val="24"/>
          <w:szCs w:val="24"/>
          <w:lang w:val="kk-KZ" w:eastAsia="ru-RU"/>
        </w:rPr>
        <w:t>СЕРИКБАЕВА Э.А., УМУРЗАХОВА Г.Ж., ДАТХАЕВ У.М., ЖАКИПБЕКОВ К.С., ЕЛШИБЕКОВА К.М., ЕГИЗБАЕВА А.А.</w:t>
      </w:r>
      <w:r w:rsidRPr="00A42DA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Анализ процессов кластеризации в фармацевтической отрасли (на примере Алматинской области).</w:t>
      </w:r>
      <w:r w:rsidR="009C228F" w:rsidRPr="00A42DAD">
        <w:rPr>
          <w:rFonts w:ascii="Times New Roman" w:hAnsi="Times New Roman" w:cs="Times New Roman"/>
          <w:sz w:val="24"/>
          <w:szCs w:val="24"/>
          <w:lang w:val="kk-KZ" w:eastAsia="ru-RU"/>
        </w:rPr>
        <w:t>.......................................</w:t>
      </w:r>
      <w:r w:rsidR="009C228F" w:rsidRPr="00A42DAD">
        <w:rPr>
          <w:rFonts w:ascii="Times New Roman" w:hAnsi="Times New Roman" w:cs="Times New Roman"/>
          <w:b/>
          <w:sz w:val="24"/>
          <w:szCs w:val="24"/>
          <w:lang w:val="kk-KZ" w:eastAsia="ru-RU"/>
        </w:rPr>
        <w:t>.42</w:t>
      </w:r>
    </w:p>
    <w:p w:rsidR="009C228F" w:rsidRPr="00A42DAD" w:rsidRDefault="009C228F" w:rsidP="00A42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DA0000"/>
          <w:sz w:val="24"/>
          <w:szCs w:val="24"/>
        </w:rPr>
      </w:pPr>
      <w:r w:rsidRPr="00A42DAD">
        <w:rPr>
          <w:rFonts w:ascii="Times New Roman" w:hAnsi="Times New Roman" w:cs="Times New Roman"/>
          <w:b/>
          <w:bCs/>
          <w:color w:val="DA0000"/>
          <w:sz w:val="24"/>
          <w:szCs w:val="24"/>
        </w:rPr>
        <w:t>АННОТАЦИЯ</w:t>
      </w:r>
    </w:p>
    <w:p w:rsidR="009C228F" w:rsidRPr="00A42DAD" w:rsidRDefault="009C228F" w:rsidP="00A42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DAD">
        <w:rPr>
          <w:rFonts w:ascii="Times New Roman" w:hAnsi="Times New Roman" w:cs="Times New Roman"/>
          <w:color w:val="000000"/>
          <w:sz w:val="24"/>
          <w:szCs w:val="24"/>
        </w:rPr>
        <w:t>При рассмотрении возможностей формирования</w:t>
      </w:r>
      <w:r w:rsidR="00A42DAD"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2DAD">
        <w:rPr>
          <w:rFonts w:ascii="Times New Roman" w:hAnsi="Times New Roman" w:cs="Times New Roman"/>
          <w:color w:val="000000"/>
          <w:sz w:val="24"/>
          <w:szCs w:val="24"/>
        </w:rPr>
        <w:t>фармацевтической интегрированной структуры на</w:t>
      </w:r>
      <w:r w:rsidR="00A42DAD"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2DAD">
        <w:rPr>
          <w:rFonts w:ascii="Times New Roman" w:hAnsi="Times New Roman" w:cs="Times New Roman"/>
          <w:color w:val="000000"/>
          <w:sz w:val="24"/>
          <w:szCs w:val="24"/>
        </w:rPr>
        <w:t>территории региона (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Алматинской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области) необходимо проанализировать преимущества, которые</w:t>
      </w:r>
      <w:r w:rsidR="00A42DAD"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2DAD">
        <w:rPr>
          <w:rFonts w:ascii="Times New Roman" w:hAnsi="Times New Roman" w:cs="Times New Roman"/>
          <w:color w:val="000000"/>
          <w:sz w:val="24"/>
          <w:szCs w:val="24"/>
        </w:rPr>
        <w:t>дает создание</w:t>
      </w:r>
      <w:r w:rsidR="00A42DAD"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2DAD">
        <w:rPr>
          <w:rFonts w:ascii="Times New Roman" w:hAnsi="Times New Roman" w:cs="Times New Roman"/>
          <w:color w:val="000000"/>
          <w:sz w:val="24"/>
          <w:szCs w:val="24"/>
        </w:rPr>
        <w:t>фармацевтического кластера для его</w:t>
      </w:r>
      <w:r w:rsidR="00A42DAD"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2DAD">
        <w:rPr>
          <w:rFonts w:ascii="Times New Roman" w:hAnsi="Times New Roman" w:cs="Times New Roman"/>
          <w:color w:val="000000"/>
          <w:sz w:val="24"/>
          <w:szCs w:val="24"/>
        </w:rPr>
        <w:t>участников и, собственно, субъекта, для нужд которого и планируется его организация.</w:t>
      </w:r>
    </w:p>
    <w:p w:rsidR="006B015E" w:rsidRPr="00A42DAD" w:rsidRDefault="009C228F" w:rsidP="00A42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42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Ключевые слова: </w:t>
      </w:r>
      <w:r w:rsidRPr="00A42DAD">
        <w:rPr>
          <w:rFonts w:ascii="Times New Roman" w:hAnsi="Times New Roman" w:cs="Times New Roman"/>
          <w:color w:val="000000"/>
          <w:sz w:val="24"/>
          <w:szCs w:val="24"/>
        </w:rPr>
        <w:t>концепция, стратегия развития, фармация, геополитика, формирование, фармацевтический кластер, инновация, инвестиции</w:t>
      </w:r>
      <w:r w:rsidR="00A42DAD"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42DAD">
        <w:rPr>
          <w:rFonts w:ascii="Times New Roman" w:hAnsi="Times New Roman" w:cs="Times New Roman"/>
          <w:color w:val="000000"/>
          <w:sz w:val="24"/>
          <w:szCs w:val="24"/>
        </w:rPr>
        <w:t>экономическая целесообразность.</w:t>
      </w:r>
      <w:proofErr w:type="gramEnd"/>
    </w:p>
    <w:p w:rsidR="00A42DAD" w:rsidRPr="00A42DAD" w:rsidRDefault="00A42DAD" w:rsidP="00A42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2DAD" w:rsidRPr="00A42DAD" w:rsidRDefault="00A42DAD" w:rsidP="00A42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42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АМИРКУЛОВА М.К.1, УТЕЛЬБАЕВА З.Т.1, АНАНЬЕВА Л.В.1, САТБАЕВА Э.М.1,</w:t>
      </w:r>
    </w:p>
    <w:p w:rsidR="00A42DAD" w:rsidRPr="00A42DAD" w:rsidRDefault="00A42DAD" w:rsidP="00A42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2DAD">
        <w:rPr>
          <w:rFonts w:ascii="Times New Roman" w:hAnsi="Times New Roman" w:cs="Times New Roman"/>
          <w:sz w:val="24"/>
          <w:szCs w:val="24"/>
        </w:rPr>
        <w:t>М</w:t>
      </w:r>
      <w:r w:rsidRPr="00A42DAD">
        <w:rPr>
          <w:rFonts w:ascii="Times New Roman" w:hAnsi="Times New Roman" w:cs="Times New Roman"/>
          <w:sz w:val="24"/>
          <w:szCs w:val="24"/>
        </w:rPr>
        <w:t>естноанестезирующая</w:t>
      </w:r>
      <w:proofErr w:type="spellEnd"/>
      <w:r w:rsidRPr="00A42DAD">
        <w:rPr>
          <w:rFonts w:ascii="Times New Roman" w:hAnsi="Times New Roman" w:cs="Times New Roman"/>
          <w:sz w:val="24"/>
          <w:szCs w:val="24"/>
        </w:rPr>
        <w:t xml:space="preserve"> активность модифицированных производных на модели инфильтрационной анестезии…………………………………………………………………</w:t>
      </w:r>
      <w:r w:rsidRPr="00A42DAD">
        <w:rPr>
          <w:rFonts w:ascii="Times New Roman" w:hAnsi="Times New Roman" w:cs="Times New Roman"/>
          <w:b/>
          <w:sz w:val="24"/>
          <w:szCs w:val="24"/>
        </w:rPr>
        <w:t>45</w:t>
      </w:r>
    </w:p>
    <w:p w:rsidR="00A42DAD" w:rsidRPr="00A42DAD" w:rsidRDefault="00A42DAD" w:rsidP="00A42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DA0000"/>
          <w:sz w:val="24"/>
          <w:szCs w:val="24"/>
        </w:rPr>
      </w:pPr>
    </w:p>
    <w:p w:rsidR="00A42DAD" w:rsidRPr="00A42DAD" w:rsidRDefault="00A42DAD" w:rsidP="00A42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DA0000"/>
          <w:sz w:val="24"/>
          <w:szCs w:val="24"/>
        </w:rPr>
      </w:pPr>
      <w:r w:rsidRPr="00A42DAD">
        <w:rPr>
          <w:rFonts w:ascii="Times New Roman" w:hAnsi="Times New Roman" w:cs="Times New Roman"/>
          <w:b/>
          <w:bCs/>
          <w:color w:val="DA0000"/>
          <w:sz w:val="24"/>
          <w:szCs w:val="24"/>
        </w:rPr>
        <w:t>АННОТАЦИЯ</w:t>
      </w:r>
    </w:p>
    <w:p w:rsidR="00A42DAD" w:rsidRPr="00A42DAD" w:rsidRDefault="00A42DAD" w:rsidP="00A42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DAD">
        <w:rPr>
          <w:rFonts w:ascii="Times New Roman" w:hAnsi="Times New Roman" w:cs="Times New Roman"/>
          <w:color w:val="000000"/>
          <w:sz w:val="24"/>
          <w:szCs w:val="24"/>
        </w:rPr>
        <w:t>Изучены острая токсичность и местное анестезирующее действие новых веществ под шифром МАВ-224, МАВ-225 и МАВ-230, являющихся модифицированными пр</w:t>
      </w:r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оизводными пиперидина на модели </w:t>
      </w:r>
      <w:r w:rsidRPr="00A42DAD">
        <w:rPr>
          <w:rFonts w:ascii="Times New Roman" w:hAnsi="Times New Roman" w:cs="Times New Roman"/>
          <w:color w:val="000000"/>
          <w:sz w:val="24"/>
          <w:szCs w:val="24"/>
        </w:rPr>
        <w:t>инфильтрационной анестезии. Нами определено,</w:t>
      </w:r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42DAD">
        <w:rPr>
          <w:rFonts w:ascii="Times New Roman" w:hAnsi="Times New Roman" w:cs="Times New Roman"/>
          <w:color w:val="000000"/>
          <w:sz w:val="24"/>
          <w:szCs w:val="24"/>
        </w:rPr>
        <w:t>что все изуче</w:t>
      </w:r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нные соединения обладают низкой </w:t>
      </w:r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токсичностью по сравнению с </w:t>
      </w:r>
      <w:r w:rsidRPr="00A42DA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эталонными препаратами и обладают разной степенью местного анестезирующего действия. Наибольшую активность показало соединение МАВ-230, имеющее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имидазольный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2DAD">
        <w:rPr>
          <w:rFonts w:ascii="Times New Roman" w:hAnsi="Times New Roman" w:cs="Times New Roman"/>
          <w:color w:val="000000"/>
          <w:sz w:val="24"/>
          <w:szCs w:val="24"/>
        </w:rPr>
        <w:t>радикал при</w:t>
      </w:r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гетероатоме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азота в </w:t>
      </w:r>
      <w:proofErr w:type="spellStart"/>
      <w:r w:rsidRPr="00A42DAD">
        <w:rPr>
          <w:rFonts w:ascii="Times New Roman" w:hAnsi="Times New Roman" w:cs="Times New Roman"/>
          <w:color w:val="000000"/>
          <w:sz w:val="24"/>
          <w:szCs w:val="24"/>
        </w:rPr>
        <w:t>пиперидиновом</w:t>
      </w:r>
      <w:proofErr w:type="spellEnd"/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2DAD">
        <w:rPr>
          <w:rFonts w:ascii="Times New Roman" w:hAnsi="Times New Roman" w:cs="Times New Roman"/>
          <w:color w:val="000000"/>
          <w:sz w:val="24"/>
          <w:szCs w:val="24"/>
        </w:rPr>
        <w:t>кольце.</w:t>
      </w:r>
    </w:p>
    <w:p w:rsidR="00A42DAD" w:rsidRPr="00A42DAD" w:rsidRDefault="00A42DAD" w:rsidP="00A42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42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Ключевые слова: </w:t>
      </w:r>
      <w:r w:rsidRPr="00A42DAD">
        <w:rPr>
          <w:rFonts w:ascii="Times New Roman" w:hAnsi="Times New Roman" w:cs="Times New Roman"/>
          <w:color w:val="000000"/>
          <w:sz w:val="24"/>
          <w:szCs w:val="24"/>
        </w:rPr>
        <w:t>токсичность, инфильтрацион</w:t>
      </w:r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ная </w:t>
      </w:r>
      <w:r w:rsidRPr="00A42DAD">
        <w:rPr>
          <w:rFonts w:ascii="Times New Roman" w:hAnsi="Times New Roman" w:cs="Times New Roman"/>
          <w:color w:val="000000"/>
          <w:sz w:val="24"/>
          <w:szCs w:val="24"/>
        </w:rPr>
        <w:t>анестезия, пиперидин, производные пипериди</w:t>
      </w:r>
      <w:r w:rsidRPr="00A42DAD">
        <w:rPr>
          <w:rFonts w:ascii="Times New Roman" w:hAnsi="Times New Roman" w:cs="Times New Roman"/>
          <w:color w:val="000000"/>
          <w:sz w:val="24"/>
          <w:szCs w:val="24"/>
        </w:rPr>
        <w:t xml:space="preserve">на, </w:t>
      </w:r>
      <w:r w:rsidRPr="00A42DAD">
        <w:rPr>
          <w:rFonts w:ascii="Times New Roman" w:hAnsi="Times New Roman" w:cs="Times New Roman"/>
          <w:color w:val="000000"/>
          <w:sz w:val="24"/>
          <w:szCs w:val="24"/>
        </w:rPr>
        <w:t>доклинические исследования, хирургия.</w:t>
      </w:r>
      <w:proofErr w:type="gramEnd"/>
    </w:p>
    <w:sectPr w:rsidR="00A42DAD" w:rsidRPr="00A42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4B"/>
    <w:rsid w:val="00092950"/>
    <w:rsid w:val="00176942"/>
    <w:rsid w:val="00325585"/>
    <w:rsid w:val="003753F5"/>
    <w:rsid w:val="00526F7C"/>
    <w:rsid w:val="00564D30"/>
    <w:rsid w:val="005C6E72"/>
    <w:rsid w:val="00615618"/>
    <w:rsid w:val="00682A83"/>
    <w:rsid w:val="00684DEE"/>
    <w:rsid w:val="006B015E"/>
    <w:rsid w:val="00765CA9"/>
    <w:rsid w:val="007D070D"/>
    <w:rsid w:val="00876F03"/>
    <w:rsid w:val="00902DDA"/>
    <w:rsid w:val="009253CE"/>
    <w:rsid w:val="00972BB7"/>
    <w:rsid w:val="009C228F"/>
    <w:rsid w:val="009C6173"/>
    <w:rsid w:val="00A42DAD"/>
    <w:rsid w:val="00A5720E"/>
    <w:rsid w:val="00A8331E"/>
    <w:rsid w:val="00BF6DEA"/>
    <w:rsid w:val="00DB5A5C"/>
    <w:rsid w:val="00DC0E18"/>
    <w:rsid w:val="00E36566"/>
    <w:rsid w:val="00F842D8"/>
    <w:rsid w:val="00FD3CD5"/>
    <w:rsid w:val="00FE27C3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D5"/>
  </w:style>
  <w:style w:type="paragraph" w:styleId="1">
    <w:name w:val="heading 1"/>
    <w:basedOn w:val="a"/>
    <w:next w:val="a"/>
    <w:link w:val="10"/>
    <w:uiPriority w:val="9"/>
    <w:qFormat/>
    <w:rsid w:val="006B01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01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15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B01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B01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D5"/>
  </w:style>
  <w:style w:type="paragraph" w:styleId="1">
    <w:name w:val="heading 1"/>
    <w:basedOn w:val="a"/>
    <w:next w:val="a"/>
    <w:link w:val="10"/>
    <w:uiPriority w:val="9"/>
    <w:qFormat/>
    <w:rsid w:val="006B01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01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15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B01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B01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0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DD7CE-E758-4699-AF16-43148892A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Сулеева Фарида Эльдессовна</dc:creator>
  <cp:lastModifiedBy>Сулеева Фарида Эльдессовна</cp:lastModifiedBy>
  <cp:revision>2</cp:revision>
  <dcterms:created xsi:type="dcterms:W3CDTF">2019-11-21T07:07:00Z</dcterms:created>
  <dcterms:modified xsi:type="dcterms:W3CDTF">2019-11-21T07:07:00Z</dcterms:modified>
</cp:coreProperties>
</file>