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E1" w:rsidRPr="00CD7CA2" w:rsidRDefault="00C264E1" w:rsidP="00C264E1">
      <w:pPr>
        <w:jc w:val="both"/>
        <w:rPr>
          <w:b/>
          <w:sz w:val="28"/>
          <w:szCs w:val="28"/>
          <w:lang w:val="kk-KZ"/>
        </w:rPr>
      </w:pPr>
      <w:r w:rsidRPr="00CD7CA2">
        <w:rPr>
          <w:b/>
          <w:sz w:val="28"/>
          <w:szCs w:val="28"/>
          <w:lang w:val="kk-KZ"/>
        </w:rPr>
        <w:t>Информация ВОЗ касательно охраны МНН</w:t>
      </w:r>
    </w:p>
    <w:p w:rsidR="00C264E1" w:rsidRDefault="00C264E1" w:rsidP="00C264E1">
      <w:pPr>
        <w:jc w:val="both"/>
        <w:rPr>
          <w:sz w:val="28"/>
          <w:szCs w:val="28"/>
          <w:lang w:val="kk-KZ"/>
        </w:rPr>
      </w:pPr>
    </w:p>
    <w:p w:rsidR="00C264E1" w:rsidRDefault="00C264E1" w:rsidP="00C264E1">
      <w:pPr>
        <w:jc w:val="both"/>
        <w:rPr>
          <w:sz w:val="28"/>
          <w:szCs w:val="28"/>
        </w:rPr>
      </w:pPr>
      <w:r w:rsidRPr="00462D10">
        <w:rPr>
          <w:sz w:val="28"/>
          <w:szCs w:val="28"/>
        </w:rPr>
        <w:t>Уважаемые держатели регистрац</w:t>
      </w:r>
      <w:r>
        <w:rPr>
          <w:sz w:val="28"/>
          <w:szCs w:val="28"/>
        </w:rPr>
        <w:t>ионных удостоверений, заявители, в э</w:t>
      </w:r>
      <w:r w:rsidRPr="00462D10">
        <w:rPr>
          <w:sz w:val="28"/>
          <w:szCs w:val="28"/>
        </w:rPr>
        <w:t>кспертную организацию поступили сообщения от Всемирной организации здравоохранения (ВОЗ)</w:t>
      </w:r>
      <w:r>
        <w:rPr>
          <w:sz w:val="28"/>
          <w:szCs w:val="28"/>
        </w:rPr>
        <w:t xml:space="preserve"> касательно охраны</w:t>
      </w:r>
      <w:r w:rsidRPr="00462D10">
        <w:rPr>
          <w:sz w:val="28"/>
          <w:szCs w:val="28"/>
        </w:rPr>
        <w:t xml:space="preserve"> международных непатентованных наименований (МНН)</w:t>
      </w:r>
      <w:r>
        <w:rPr>
          <w:sz w:val="28"/>
          <w:szCs w:val="28"/>
        </w:rPr>
        <w:t xml:space="preserve"> и недопущения передачи коммерческих прав на МНН.  </w:t>
      </w:r>
    </w:p>
    <w:p w:rsidR="00C264E1" w:rsidRDefault="00C264E1" w:rsidP="00C264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результате</w:t>
      </w:r>
      <w:proofErr w:type="gramEnd"/>
      <w:r>
        <w:rPr>
          <w:sz w:val="28"/>
          <w:szCs w:val="28"/>
        </w:rPr>
        <w:t xml:space="preserve"> конкурентного продвижения препаратов, более не охраняемых патентами, очевидна необходимость усиления охраны МНН. </w:t>
      </w:r>
      <w:proofErr w:type="gramStart"/>
      <w:r>
        <w:rPr>
          <w:sz w:val="28"/>
          <w:szCs w:val="28"/>
        </w:rPr>
        <w:t>Многие компании регистрируют товарный знак или торговое наименование, являющиеся производным МНН и включающий общую основу МНН.</w:t>
      </w:r>
      <w:proofErr w:type="gramEnd"/>
      <w:r>
        <w:rPr>
          <w:sz w:val="28"/>
          <w:szCs w:val="28"/>
        </w:rPr>
        <w:t xml:space="preserve"> Эта практика угрожает принципу публичной принадлежности МНН и затрудняет рациональное присвоение МНН родственным веществам, что в итоге снизит безопасность для пациентов вследствие привнесения путаницы в номенклатуру лекарственных препаратов.</w:t>
      </w:r>
    </w:p>
    <w:p w:rsidR="00C264E1" w:rsidRDefault="00C264E1" w:rsidP="00C264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462D10">
        <w:rPr>
          <w:sz w:val="28"/>
          <w:szCs w:val="28"/>
        </w:rPr>
        <w:t>«Руководств</w:t>
      </w:r>
      <w:r>
        <w:rPr>
          <w:sz w:val="28"/>
          <w:szCs w:val="28"/>
        </w:rPr>
        <w:t>у</w:t>
      </w:r>
      <w:r w:rsidRPr="00462D10">
        <w:rPr>
          <w:sz w:val="28"/>
          <w:szCs w:val="28"/>
        </w:rPr>
        <w:t xml:space="preserve"> ВОЗ по использованию международных непатентованных наименований фармацевтических веществ»</w:t>
      </w:r>
      <w:r>
        <w:rPr>
          <w:sz w:val="28"/>
          <w:szCs w:val="28"/>
        </w:rPr>
        <w:t xml:space="preserve"> (далее – Руководство ВОЗ) торговое наименование и/или товарный знак лекарственных средств не должно содержать название МНН или </w:t>
      </w:r>
      <w:r w:rsidRPr="00CD5633">
        <w:rPr>
          <w:sz w:val="28"/>
          <w:szCs w:val="28"/>
        </w:rPr>
        <w:t>слоги и суффиксы МНН, определя</w:t>
      </w:r>
      <w:r>
        <w:rPr>
          <w:sz w:val="28"/>
          <w:szCs w:val="28"/>
        </w:rPr>
        <w:t>ющ</w:t>
      </w:r>
      <w:r w:rsidRPr="00CD5633">
        <w:rPr>
          <w:sz w:val="28"/>
          <w:szCs w:val="28"/>
        </w:rPr>
        <w:t>ие их фармакологическое родство</w:t>
      </w:r>
      <w:r>
        <w:rPr>
          <w:sz w:val="28"/>
          <w:szCs w:val="28"/>
        </w:rPr>
        <w:t xml:space="preserve">. Аналогично, включение </w:t>
      </w:r>
      <w:r w:rsidRPr="00D50C40">
        <w:rPr>
          <w:sz w:val="28"/>
          <w:szCs w:val="28"/>
        </w:rPr>
        <w:t>элементо</w:t>
      </w:r>
      <w:r>
        <w:rPr>
          <w:sz w:val="28"/>
          <w:szCs w:val="28"/>
        </w:rPr>
        <w:t xml:space="preserve">в из биохимической номенклатуры (таких как </w:t>
      </w:r>
      <w:proofErr w:type="gramStart"/>
      <w:r>
        <w:rPr>
          <w:sz w:val="28"/>
          <w:szCs w:val="28"/>
        </w:rPr>
        <w:t>«-</w:t>
      </w:r>
      <w:proofErr w:type="spellStart"/>
      <w:proofErr w:type="gramEnd"/>
      <w:r>
        <w:rPr>
          <w:sz w:val="28"/>
          <w:szCs w:val="28"/>
        </w:rPr>
        <w:t>ферон</w:t>
      </w:r>
      <w:proofErr w:type="spellEnd"/>
      <w:r>
        <w:rPr>
          <w:sz w:val="28"/>
          <w:szCs w:val="28"/>
        </w:rPr>
        <w:t xml:space="preserve">» </w:t>
      </w:r>
      <w:r w:rsidRPr="00D50C40">
        <w:rPr>
          <w:sz w:val="28"/>
          <w:szCs w:val="28"/>
        </w:rPr>
        <w:t>из интерферона или «-</w:t>
      </w:r>
      <w:proofErr w:type="spellStart"/>
      <w:r w:rsidRPr="00D50C40">
        <w:rPr>
          <w:sz w:val="28"/>
          <w:szCs w:val="28"/>
        </w:rPr>
        <w:t>лейкин</w:t>
      </w:r>
      <w:proofErr w:type="spellEnd"/>
      <w:r w:rsidRPr="00D50C40">
        <w:rPr>
          <w:sz w:val="28"/>
          <w:szCs w:val="28"/>
        </w:rPr>
        <w:t xml:space="preserve">» из </w:t>
      </w:r>
      <w:proofErr w:type="spellStart"/>
      <w:r w:rsidRPr="00D50C40">
        <w:rPr>
          <w:sz w:val="28"/>
          <w:szCs w:val="28"/>
        </w:rPr>
        <w:t>интерлейкина</w:t>
      </w:r>
      <w:proofErr w:type="spellEnd"/>
      <w:r w:rsidRPr="00D50C40">
        <w:rPr>
          <w:sz w:val="28"/>
          <w:szCs w:val="28"/>
        </w:rPr>
        <w:t>) в товарные знаки, находящиеся на рассмотрении, не рекомендуется, поскольку эти элементы, скорее всего, будут исп</w:t>
      </w:r>
      <w:r>
        <w:rPr>
          <w:sz w:val="28"/>
          <w:szCs w:val="28"/>
        </w:rPr>
        <w:t xml:space="preserve">ользоваться в качестве основ в </w:t>
      </w:r>
      <w:r w:rsidRPr="00D50C40">
        <w:rPr>
          <w:sz w:val="28"/>
          <w:szCs w:val="28"/>
        </w:rPr>
        <w:t>номенкл</w:t>
      </w:r>
      <w:r>
        <w:rPr>
          <w:sz w:val="28"/>
          <w:szCs w:val="28"/>
        </w:rPr>
        <w:t xml:space="preserve">атуре МНН. Их включение в товарные знаки может препятствовать логическому развитию номенклатуры МНН. 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резолюцией WHA46.19, регистрация МНН вместе с наименованием компании полностью приемлема, если это не </w:t>
      </w:r>
      <w:r w:rsidRPr="00D50C40">
        <w:rPr>
          <w:sz w:val="28"/>
          <w:szCs w:val="28"/>
        </w:rPr>
        <w:t>препятств</w:t>
      </w:r>
      <w:r>
        <w:rPr>
          <w:sz w:val="28"/>
          <w:szCs w:val="28"/>
        </w:rPr>
        <w:t xml:space="preserve">ует другим производителям прибегнуть к такому же подходу. </w:t>
      </w:r>
    </w:p>
    <w:p w:rsidR="00C264E1" w:rsidRDefault="00C264E1" w:rsidP="00C264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вышеизложенного, всем д</w:t>
      </w:r>
      <w:r w:rsidRPr="00462D10">
        <w:rPr>
          <w:sz w:val="28"/>
          <w:szCs w:val="28"/>
        </w:rPr>
        <w:t>ержателям регистрационных удостоверений</w:t>
      </w:r>
      <w:r>
        <w:rPr>
          <w:sz w:val="28"/>
          <w:szCs w:val="28"/>
        </w:rPr>
        <w:t xml:space="preserve"> </w:t>
      </w:r>
      <w:r w:rsidRPr="00462D10">
        <w:rPr>
          <w:sz w:val="28"/>
          <w:szCs w:val="28"/>
        </w:rPr>
        <w:t>необходимо прин</w:t>
      </w:r>
      <w:r>
        <w:rPr>
          <w:sz w:val="28"/>
          <w:szCs w:val="28"/>
        </w:rPr>
        <w:t>ять</w:t>
      </w:r>
      <w:r w:rsidRPr="00462D10">
        <w:rPr>
          <w:sz w:val="28"/>
          <w:szCs w:val="28"/>
        </w:rPr>
        <w:t xml:space="preserve"> во внимание рекомендации, указанные в Руководств</w:t>
      </w:r>
      <w:r>
        <w:rPr>
          <w:sz w:val="28"/>
          <w:szCs w:val="28"/>
        </w:rPr>
        <w:t>е</w:t>
      </w:r>
      <w:r w:rsidRPr="00462D10">
        <w:rPr>
          <w:sz w:val="28"/>
          <w:szCs w:val="28"/>
        </w:rPr>
        <w:t xml:space="preserve"> ВОЗ </w:t>
      </w:r>
      <w:r>
        <w:rPr>
          <w:sz w:val="28"/>
          <w:szCs w:val="28"/>
        </w:rPr>
        <w:t xml:space="preserve">при регистрации нового или действующего торгового наименования и/или товарного знака лекарственных средств. </w:t>
      </w:r>
    </w:p>
    <w:p w:rsidR="00C264E1" w:rsidRDefault="00C264E1" w:rsidP="00C264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действующего торгового наименования и/или товарного знака лекарственных средств, не соответствующего рекомендациям Руководства ВОЗ, необходимо подать соответствующее внесение изменений в регистрационное удостоверение.</w:t>
      </w:r>
    </w:p>
    <w:p w:rsidR="00C264E1" w:rsidRDefault="00C264E1" w:rsidP="00C264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Более подробные сведения</w:t>
      </w:r>
      <w:r w:rsidRPr="00D50C40">
        <w:rPr>
          <w:sz w:val="28"/>
          <w:szCs w:val="28"/>
        </w:rPr>
        <w:t xml:space="preserve"> приводятся</w:t>
      </w:r>
      <w:r>
        <w:rPr>
          <w:sz w:val="28"/>
          <w:szCs w:val="28"/>
        </w:rPr>
        <w:t xml:space="preserve"> в приложенных документах.</w:t>
      </w:r>
    </w:p>
    <w:p w:rsidR="00C264E1" w:rsidRDefault="00C264E1" w:rsidP="00C264E1">
      <w:pPr>
        <w:ind w:firstLine="567"/>
        <w:jc w:val="both"/>
        <w:rPr>
          <w:sz w:val="28"/>
          <w:szCs w:val="28"/>
        </w:rPr>
      </w:pPr>
    </w:p>
    <w:p w:rsidR="00C264E1" w:rsidRDefault="00C264E1" w:rsidP="00C264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№1:</w:t>
      </w:r>
      <w:r w:rsidRPr="00A90FD7">
        <w:rPr>
          <w:sz w:val="28"/>
          <w:szCs w:val="28"/>
        </w:rPr>
        <w:t xml:space="preserve"> </w:t>
      </w:r>
      <w:r w:rsidRPr="00462D10">
        <w:rPr>
          <w:sz w:val="28"/>
          <w:szCs w:val="28"/>
        </w:rPr>
        <w:t>Руководств</w:t>
      </w:r>
      <w:r>
        <w:rPr>
          <w:sz w:val="28"/>
          <w:szCs w:val="28"/>
        </w:rPr>
        <w:t>о</w:t>
      </w:r>
      <w:r w:rsidRPr="00462D10">
        <w:rPr>
          <w:sz w:val="28"/>
          <w:szCs w:val="28"/>
        </w:rPr>
        <w:t xml:space="preserve"> ВОЗ по использованию международных непатентованных наименований фармацевтических веществ</w:t>
      </w:r>
      <w:r>
        <w:rPr>
          <w:sz w:val="28"/>
          <w:szCs w:val="28"/>
        </w:rPr>
        <w:t>;</w:t>
      </w:r>
    </w:p>
    <w:p w:rsidR="00C264E1" w:rsidRDefault="00C264E1" w:rsidP="00C264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№2: </w:t>
      </w:r>
      <w:r w:rsidRPr="00601535">
        <w:rPr>
          <w:sz w:val="28"/>
          <w:szCs w:val="28"/>
        </w:rPr>
        <w:t>Информационный буклет</w:t>
      </w:r>
      <w:r>
        <w:rPr>
          <w:sz w:val="28"/>
          <w:szCs w:val="28"/>
        </w:rPr>
        <w:t>;</w:t>
      </w:r>
    </w:p>
    <w:p w:rsidR="00C264E1" w:rsidRDefault="00C264E1" w:rsidP="00C264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№3: Документ К</w:t>
      </w:r>
      <w:r w:rsidRPr="009F3988">
        <w:rPr>
          <w:sz w:val="28"/>
          <w:szCs w:val="28"/>
        </w:rPr>
        <w:t>омитет</w:t>
      </w:r>
      <w:r>
        <w:rPr>
          <w:sz w:val="28"/>
          <w:szCs w:val="28"/>
        </w:rPr>
        <w:t>а</w:t>
      </w:r>
      <w:r w:rsidRPr="009F3988">
        <w:rPr>
          <w:sz w:val="28"/>
          <w:szCs w:val="28"/>
        </w:rPr>
        <w:t xml:space="preserve"> по законодательству о товарных знака</w:t>
      </w:r>
      <w:r>
        <w:rPr>
          <w:sz w:val="28"/>
          <w:szCs w:val="28"/>
        </w:rPr>
        <w:t>х, промышленном дизайне и географического наименования, 19-ая сессия 2008 г.</w:t>
      </w:r>
    </w:p>
    <w:p w:rsidR="00012290" w:rsidRDefault="00012290">
      <w:bookmarkStart w:id="0" w:name="_GoBack"/>
      <w:bookmarkEnd w:id="0"/>
    </w:p>
    <w:sectPr w:rsidR="00012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20"/>
    <w:rsid w:val="00012290"/>
    <w:rsid w:val="005F6D20"/>
    <w:rsid w:val="00C2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Гулзира М. Жибекенова</dc:creator>
  <cp:lastModifiedBy>Гулзира М. Жибекенова</cp:lastModifiedBy>
  <cp:revision>2</cp:revision>
  <dcterms:created xsi:type="dcterms:W3CDTF">2024-08-01T04:55:00Z</dcterms:created>
  <dcterms:modified xsi:type="dcterms:W3CDTF">2024-08-01T04:55:00Z</dcterms:modified>
</cp:coreProperties>
</file>