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5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887"/>
        <w:gridCol w:w="155"/>
        <w:gridCol w:w="4314"/>
        <w:gridCol w:w="4536"/>
      </w:tblGrid>
      <w:tr w:rsidR="00AB7C7A" w:rsidRPr="00854F89" w:rsidTr="000D07D4">
        <w:tc>
          <w:tcPr>
            <w:tcW w:w="4678" w:type="dxa"/>
          </w:tcPr>
          <w:p w:rsidR="00AB7C7A" w:rsidRPr="00412E1E" w:rsidRDefault="00AB7C7A" w:rsidP="00D66615">
            <w:pPr>
              <w:jc w:val="center"/>
              <w:rPr>
                <w:sz w:val="28"/>
                <w:szCs w:val="28"/>
                <w:lang w:val="en-US"/>
              </w:rPr>
            </w:pPr>
            <w:bookmarkStart w:id="0" w:name="_GoBack" w:colFirst="1" w:colLast="1"/>
          </w:p>
        </w:tc>
        <w:tc>
          <w:tcPr>
            <w:tcW w:w="5042" w:type="dxa"/>
            <w:gridSpan w:val="2"/>
          </w:tcPr>
          <w:p w:rsidR="00AB7C7A" w:rsidRPr="00854F89" w:rsidRDefault="00AB7C7A" w:rsidP="003F5AD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314" w:type="dxa"/>
          </w:tcPr>
          <w:p w:rsidR="00AB7C7A" w:rsidRPr="00854F89" w:rsidRDefault="00AB7C7A" w:rsidP="003F5AD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B7C7A" w:rsidRPr="00854F89" w:rsidRDefault="00AB7C7A" w:rsidP="003F5AD2">
            <w:pPr>
              <w:jc w:val="right"/>
              <w:rPr>
                <w:sz w:val="28"/>
                <w:szCs w:val="28"/>
              </w:rPr>
            </w:pPr>
          </w:p>
        </w:tc>
      </w:tr>
      <w:tr w:rsidR="00AB7C7A" w:rsidRPr="003F5AD2" w:rsidTr="00272632">
        <w:trPr>
          <w:gridAfter w:val="3"/>
          <w:wAfter w:w="9005" w:type="dxa"/>
          <w:trHeight w:val="953"/>
        </w:trPr>
        <w:tc>
          <w:tcPr>
            <w:tcW w:w="4678" w:type="dxa"/>
          </w:tcPr>
          <w:p w:rsidR="00AB7C7A" w:rsidRPr="003F5AD2" w:rsidRDefault="00AB7C7A" w:rsidP="003F5AD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87" w:type="dxa"/>
          </w:tcPr>
          <w:p w:rsidR="00FD6006" w:rsidRPr="009C3B63" w:rsidRDefault="00FD6006" w:rsidP="003F5AD2">
            <w:pPr>
              <w:rPr>
                <w:b/>
                <w:sz w:val="28"/>
                <w:szCs w:val="28"/>
              </w:rPr>
            </w:pPr>
            <w:r w:rsidRPr="009C3B63">
              <w:rPr>
                <w:b/>
                <w:sz w:val="28"/>
                <w:szCs w:val="28"/>
              </w:rPr>
              <w:t>УТВЕРЖДЕНА</w:t>
            </w:r>
          </w:p>
          <w:p w:rsidR="00FD6006" w:rsidRPr="003F5AD2" w:rsidRDefault="00FD6006" w:rsidP="003F5AD2">
            <w:pPr>
              <w:rPr>
                <w:sz w:val="28"/>
                <w:szCs w:val="28"/>
              </w:rPr>
            </w:pPr>
            <w:r w:rsidRPr="003F5AD2">
              <w:rPr>
                <w:sz w:val="28"/>
                <w:szCs w:val="28"/>
              </w:rPr>
              <w:t xml:space="preserve">Приказом Председателя </w:t>
            </w:r>
          </w:p>
          <w:p w:rsidR="00C27F9E" w:rsidRPr="00C27F9E" w:rsidRDefault="00FD6006" w:rsidP="00C27F9E">
            <w:pPr>
              <w:rPr>
                <w:sz w:val="28"/>
                <w:szCs w:val="28"/>
              </w:rPr>
            </w:pPr>
            <w:r w:rsidRPr="003F5AD2">
              <w:rPr>
                <w:sz w:val="28"/>
                <w:szCs w:val="28"/>
              </w:rPr>
              <w:t>РГУ «</w:t>
            </w:r>
            <w:r w:rsidR="00562A24">
              <w:rPr>
                <w:sz w:val="28"/>
                <w:szCs w:val="28"/>
              </w:rPr>
              <w:t>Комитет</w:t>
            </w:r>
            <w:r w:rsidR="00C27F9E" w:rsidRPr="00C27F9E">
              <w:rPr>
                <w:sz w:val="28"/>
                <w:szCs w:val="28"/>
              </w:rPr>
              <w:t xml:space="preserve"> </w:t>
            </w:r>
            <w:proofErr w:type="gramStart"/>
            <w:r w:rsidR="00C27F9E" w:rsidRPr="00C27F9E">
              <w:rPr>
                <w:sz w:val="28"/>
                <w:szCs w:val="28"/>
              </w:rPr>
              <w:t>медицинского</w:t>
            </w:r>
            <w:proofErr w:type="gramEnd"/>
            <w:r w:rsidR="00C27F9E" w:rsidRPr="00C27F9E">
              <w:rPr>
                <w:sz w:val="28"/>
                <w:szCs w:val="28"/>
              </w:rPr>
              <w:t xml:space="preserve"> и</w:t>
            </w:r>
          </w:p>
          <w:p w:rsidR="00C27F9E" w:rsidRPr="00C27F9E" w:rsidRDefault="00C27F9E" w:rsidP="00C27F9E">
            <w:pPr>
              <w:rPr>
                <w:sz w:val="28"/>
                <w:szCs w:val="28"/>
              </w:rPr>
            </w:pPr>
            <w:r w:rsidRPr="00C27F9E">
              <w:rPr>
                <w:sz w:val="28"/>
                <w:szCs w:val="28"/>
              </w:rPr>
              <w:t xml:space="preserve">фармацевтического контроля </w:t>
            </w:r>
          </w:p>
          <w:p w:rsidR="00C27F9E" w:rsidRPr="00C27F9E" w:rsidRDefault="00C27F9E" w:rsidP="00C27F9E">
            <w:pPr>
              <w:rPr>
                <w:sz w:val="28"/>
                <w:szCs w:val="28"/>
              </w:rPr>
            </w:pPr>
            <w:r w:rsidRPr="00C27F9E">
              <w:rPr>
                <w:sz w:val="28"/>
                <w:szCs w:val="28"/>
              </w:rPr>
              <w:t xml:space="preserve">Министерства здравоохранения </w:t>
            </w:r>
          </w:p>
          <w:p w:rsidR="00C27F9E" w:rsidRDefault="00C27F9E" w:rsidP="00C27F9E">
            <w:pPr>
              <w:rPr>
                <w:sz w:val="28"/>
                <w:szCs w:val="28"/>
              </w:rPr>
            </w:pPr>
            <w:r w:rsidRPr="00C27F9E">
              <w:rPr>
                <w:sz w:val="28"/>
                <w:szCs w:val="28"/>
              </w:rPr>
              <w:t>Республики Казахстан</w:t>
            </w:r>
            <w:r w:rsidR="003B0778">
              <w:rPr>
                <w:sz w:val="28"/>
                <w:szCs w:val="28"/>
              </w:rPr>
              <w:t>»</w:t>
            </w:r>
          </w:p>
          <w:p w:rsidR="00420CC3" w:rsidRPr="00420CC3" w:rsidRDefault="00420CC3" w:rsidP="00420CC3">
            <w:pPr>
              <w:rPr>
                <w:sz w:val="28"/>
                <w:szCs w:val="28"/>
              </w:rPr>
            </w:pPr>
            <w:r w:rsidRPr="00420CC3">
              <w:rPr>
                <w:sz w:val="28"/>
                <w:szCs w:val="28"/>
              </w:rPr>
              <w:t>от «____»____________20__г.</w:t>
            </w:r>
          </w:p>
          <w:p w:rsidR="00AB7C7A" w:rsidRPr="009229B4" w:rsidRDefault="00420CC3" w:rsidP="0042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_____________Т</w:t>
            </w:r>
          </w:p>
        </w:tc>
      </w:tr>
      <w:bookmarkEnd w:id="0"/>
    </w:tbl>
    <w:p w:rsidR="00D201F5" w:rsidRPr="003F5AD2" w:rsidRDefault="00D201F5" w:rsidP="003F5AD2">
      <w:pPr>
        <w:rPr>
          <w:sz w:val="28"/>
          <w:szCs w:val="28"/>
        </w:rPr>
      </w:pPr>
    </w:p>
    <w:p w:rsidR="003576C5" w:rsidRPr="003F5AD2" w:rsidRDefault="00B3391B" w:rsidP="003F5A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5AD2">
        <w:rPr>
          <w:b/>
          <w:sz w:val="28"/>
          <w:szCs w:val="28"/>
        </w:rPr>
        <w:t>Инструкция по медицинскому применению</w:t>
      </w:r>
    </w:p>
    <w:p w:rsidR="00D201F5" w:rsidRPr="003F5AD2" w:rsidRDefault="00B3391B" w:rsidP="003F5A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5AD2">
        <w:rPr>
          <w:b/>
          <w:sz w:val="28"/>
          <w:szCs w:val="28"/>
        </w:rPr>
        <w:t xml:space="preserve">лекарственного </w:t>
      </w:r>
      <w:r w:rsidR="009C3B63">
        <w:rPr>
          <w:b/>
          <w:sz w:val="28"/>
          <w:szCs w:val="28"/>
        </w:rPr>
        <w:t>препарата</w:t>
      </w:r>
      <w:r w:rsidRPr="003F5AD2">
        <w:rPr>
          <w:b/>
          <w:sz w:val="28"/>
          <w:szCs w:val="28"/>
        </w:rPr>
        <w:t xml:space="preserve"> (</w:t>
      </w:r>
      <w:r w:rsidR="009C3B63">
        <w:rPr>
          <w:b/>
          <w:sz w:val="28"/>
          <w:szCs w:val="28"/>
        </w:rPr>
        <w:t>Л</w:t>
      </w:r>
      <w:r w:rsidRPr="003F5AD2">
        <w:rPr>
          <w:b/>
          <w:sz w:val="28"/>
          <w:szCs w:val="28"/>
        </w:rPr>
        <w:t>исток-вкладыш)</w:t>
      </w:r>
    </w:p>
    <w:p w:rsidR="00B5363F" w:rsidRDefault="00B5363F" w:rsidP="009C3B63">
      <w:pPr>
        <w:ind w:right="226"/>
        <w:jc w:val="both"/>
        <w:rPr>
          <w:sz w:val="28"/>
          <w:szCs w:val="28"/>
        </w:rPr>
      </w:pPr>
    </w:p>
    <w:p w:rsidR="003F53A9" w:rsidRPr="009C3B63" w:rsidRDefault="003F53A9" w:rsidP="009C3B63">
      <w:pPr>
        <w:ind w:right="226"/>
        <w:jc w:val="both"/>
        <w:rPr>
          <w:b/>
          <w:bCs/>
          <w:sz w:val="28"/>
          <w:szCs w:val="28"/>
        </w:rPr>
      </w:pPr>
      <w:proofErr w:type="spellStart"/>
      <w:r w:rsidRPr="009C3B63">
        <w:rPr>
          <w:b/>
          <w:bCs/>
          <w:sz w:val="28"/>
          <w:szCs w:val="28"/>
        </w:rPr>
        <w:t>Торговое</w:t>
      </w:r>
      <w:r w:rsidR="008E582C" w:rsidRPr="009C3B63">
        <w:rPr>
          <w:b/>
          <w:bCs/>
          <w:sz w:val="28"/>
          <w:szCs w:val="28"/>
        </w:rPr>
        <w:t>наименование</w:t>
      </w:r>
      <w:proofErr w:type="spellEnd"/>
    </w:p>
    <w:p w:rsidR="00FD6006" w:rsidRPr="009C3B63" w:rsidRDefault="00076A28" w:rsidP="009C3B63">
      <w:pPr>
        <w:jc w:val="both"/>
        <w:rPr>
          <w:rFonts w:eastAsia="Arial Unicode MS"/>
          <w:sz w:val="28"/>
          <w:szCs w:val="28"/>
        </w:rPr>
      </w:pPr>
      <w:bookmarkStart w:id="1" w:name="_Hlk24721685"/>
      <w:r w:rsidRPr="00082743">
        <w:rPr>
          <w:bCs/>
          <w:caps/>
          <w:sz w:val="24"/>
          <w:szCs w:val="24"/>
        </w:rPr>
        <w:t>[</w:t>
      </w:r>
      <w:r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Pr="00082743">
        <w:rPr>
          <w:bCs/>
          <w:caps/>
          <w:sz w:val="24"/>
          <w:szCs w:val="24"/>
        </w:rPr>
        <w:t>]</w:t>
      </w:r>
      <w:bookmarkEnd w:id="1"/>
    </w:p>
    <w:p w:rsidR="00D70DA7" w:rsidRPr="009C3B63" w:rsidRDefault="00D70DA7" w:rsidP="009C3B63">
      <w:pPr>
        <w:jc w:val="both"/>
        <w:rPr>
          <w:sz w:val="28"/>
          <w:szCs w:val="28"/>
        </w:rPr>
      </w:pPr>
    </w:p>
    <w:p w:rsidR="00FD6006" w:rsidRPr="009C3B63" w:rsidRDefault="00FD6006" w:rsidP="009C3B63">
      <w:pPr>
        <w:jc w:val="both"/>
        <w:rPr>
          <w:b/>
          <w:sz w:val="28"/>
          <w:szCs w:val="28"/>
        </w:rPr>
      </w:pPr>
      <w:r w:rsidRPr="009C3B63">
        <w:rPr>
          <w:b/>
          <w:sz w:val="28"/>
          <w:szCs w:val="28"/>
        </w:rPr>
        <w:t xml:space="preserve">Международное непатентованное название </w:t>
      </w:r>
    </w:p>
    <w:p w:rsidR="003F53A9" w:rsidRPr="009C3B63" w:rsidRDefault="00272632" w:rsidP="009C3B63">
      <w:pPr>
        <w:jc w:val="both"/>
        <w:rPr>
          <w:sz w:val="28"/>
          <w:szCs w:val="28"/>
        </w:rPr>
      </w:pPr>
      <w:proofErr w:type="spellStart"/>
      <w:r w:rsidRPr="009C3B63">
        <w:rPr>
          <w:sz w:val="28"/>
          <w:szCs w:val="28"/>
        </w:rPr>
        <w:t>Розувастатин</w:t>
      </w:r>
      <w:proofErr w:type="spellEnd"/>
    </w:p>
    <w:p w:rsidR="00272632" w:rsidRPr="009C3B63" w:rsidRDefault="00272632" w:rsidP="009C3B63">
      <w:pPr>
        <w:jc w:val="both"/>
        <w:rPr>
          <w:sz w:val="28"/>
          <w:szCs w:val="28"/>
        </w:rPr>
      </w:pPr>
    </w:p>
    <w:p w:rsidR="003F53A9" w:rsidRPr="009C3B63" w:rsidRDefault="003F53A9" w:rsidP="009C3B63">
      <w:pPr>
        <w:jc w:val="both"/>
        <w:rPr>
          <w:b/>
          <w:sz w:val="28"/>
          <w:szCs w:val="28"/>
        </w:rPr>
      </w:pPr>
      <w:r w:rsidRPr="009C3B63">
        <w:rPr>
          <w:b/>
          <w:sz w:val="28"/>
          <w:szCs w:val="28"/>
        </w:rPr>
        <w:t>Лекарственная форма</w:t>
      </w:r>
      <w:r w:rsidR="008E582C" w:rsidRPr="009C3B63">
        <w:rPr>
          <w:b/>
          <w:sz w:val="28"/>
          <w:szCs w:val="28"/>
        </w:rPr>
        <w:t>, дозировка</w:t>
      </w:r>
    </w:p>
    <w:p w:rsidR="00DA26F8" w:rsidRPr="009C3B63" w:rsidRDefault="00DA26F8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Таблетки, покрытые </w:t>
      </w:r>
      <w:r w:rsidR="00A40C3B">
        <w:rPr>
          <w:sz w:val="28"/>
          <w:szCs w:val="28"/>
        </w:rPr>
        <w:t xml:space="preserve">пленочной </w:t>
      </w:r>
      <w:r w:rsidRPr="009C3B63">
        <w:rPr>
          <w:sz w:val="28"/>
          <w:szCs w:val="28"/>
        </w:rPr>
        <w:t>оболочкой</w:t>
      </w:r>
      <w:r w:rsidR="002B2E50" w:rsidRPr="009C3B63">
        <w:rPr>
          <w:sz w:val="28"/>
          <w:szCs w:val="28"/>
        </w:rPr>
        <w:t>,</w:t>
      </w:r>
      <w:r w:rsidR="008A13FC" w:rsidRPr="009C3B63">
        <w:rPr>
          <w:sz w:val="28"/>
          <w:szCs w:val="28"/>
        </w:rPr>
        <w:t>5</w:t>
      </w:r>
      <w:r w:rsidRPr="009C3B63">
        <w:rPr>
          <w:sz w:val="28"/>
          <w:szCs w:val="28"/>
        </w:rPr>
        <w:t xml:space="preserve"> мг</w:t>
      </w:r>
    </w:p>
    <w:p w:rsidR="00C06D49" w:rsidRPr="009C3B63" w:rsidRDefault="00C06D49" w:rsidP="009C3B63">
      <w:pPr>
        <w:jc w:val="both"/>
        <w:rPr>
          <w:i/>
          <w:sz w:val="28"/>
          <w:szCs w:val="28"/>
        </w:rPr>
      </w:pPr>
    </w:p>
    <w:p w:rsidR="00DD72F5" w:rsidRPr="009C3B63" w:rsidRDefault="00DD72F5" w:rsidP="009C3B63">
      <w:pPr>
        <w:ind w:right="226"/>
        <w:jc w:val="both"/>
        <w:rPr>
          <w:sz w:val="28"/>
          <w:szCs w:val="28"/>
        </w:rPr>
      </w:pPr>
      <w:r w:rsidRPr="009C3B63">
        <w:rPr>
          <w:b/>
          <w:bCs/>
          <w:sz w:val="28"/>
          <w:szCs w:val="28"/>
        </w:rPr>
        <w:t>Фармакотерапевтическая группа</w:t>
      </w:r>
    </w:p>
    <w:p w:rsidR="00272632" w:rsidRPr="009C3B63" w:rsidRDefault="00272632" w:rsidP="009C3B63">
      <w:pPr>
        <w:jc w:val="both"/>
        <w:rPr>
          <w:rFonts w:eastAsia="Arial Unicode MS"/>
          <w:bCs/>
          <w:sz w:val="28"/>
          <w:szCs w:val="28"/>
        </w:rPr>
      </w:pPr>
      <w:proofErr w:type="gramStart"/>
      <w:r w:rsidRPr="009C3B63">
        <w:rPr>
          <w:rFonts w:eastAsia="Arial Unicode MS"/>
          <w:bCs/>
          <w:sz w:val="28"/>
          <w:szCs w:val="28"/>
        </w:rPr>
        <w:t>Сердечно-сосудистая</w:t>
      </w:r>
      <w:proofErr w:type="gramEnd"/>
      <w:r w:rsidRPr="009C3B63">
        <w:rPr>
          <w:rFonts w:eastAsia="Arial Unicode MS"/>
          <w:bCs/>
          <w:sz w:val="28"/>
          <w:szCs w:val="28"/>
        </w:rPr>
        <w:t xml:space="preserve"> система. Липид-модифицирующие препараты. Липид-модифицирующие препараты, простые. HMG-</w:t>
      </w:r>
      <w:proofErr w:type="spellStart"/>
      <w:r w:rsidRPr="009C3B63">
        <w:rPr>
          <w:rFonts w:eastAsia="Arial Unicode MS"/>
          <w:bCs/>
          <w:sz w:val="28"/>
          <w:szCs w:val="28"/>
        </w:rPr>
        <w:t>CoA</w:t>
      </w:r>
      <w:proofErr w:type="spellEnd"/>
      <w:r w:rsidRPr="009C3B63">
        <w:rPr>
          <w:rFonts w:eastAsia="Arial Unicode MS"/>
          <w:bCs/>
          <w:sz w:val="28"/>
          <w:szCs w:val="28"/>
        </w:rPr>
        <w:t>-</w:t>
      </w:r>
      <w:proofErr w:type="spellStart"/>
      <w:r w:rsidRPr="009C3B63">
        <w:rPr>
          <w:rFonts w:eastAsia="Arial Unicode MS"/>
          <w:bCs/>
          <w:sz w:val="28"/>
          <w:szCs w:val="28"/>
        </w:rPr>
        <w:t>редуктазы</w:t>
      </w:r>
      <w:proofErr w:type="spellEnd"/>
      <w:r w:rsidRPr="009C3B63">
        <w:rPr>
          <w:rFonts w:eastAsia="Arial Unicode MS"/>
          <w:bCs/>
          <w:sz w:val="28"/>
          <w:szCs w:val="28"/>
        </w:rPr>
        <w:t xml:space="preserve"> ингибиторы. </w:t>
      </w:r>
      <w:proofErr w:type="spellStart"/>
      <w:r w:rsidRPr="009C3B63">
        <w:rPr>
          <w:rFonts w:eastAsia="Arial Unicode MS"/>
          <w:bCs/>
          <w:sz w:val="28"/>
          <w:szCs w:val="28"/>
        </w:rPr>
        <w:t>Розувастатин</w:t>
      </w:r>
      <w:proofErr w:type="spellEnd"/>
    </w:p>
    <w:p w:rsidR="001B13AD" w:rsidRPr="009C3B63" w:rsidRDefault="00272632" w:rsidP="009C3B63">
      <w:pPr>
        <w:jc w:val="both"/>
        <w:rPr>
          <w:rFonts w:eastAsia="Arial Unicode MS"/>
          <w:bCs/>
          <w:sz w:val="28"/>
          <w:szCs w:val="28"/>
        </w:rPr>
      </w:pPr>
      <w:r w:rsidRPr="009C3B63">
        <w:rPr>
          <w:rFonts w:eastAsia="Arial Unicode MS"/>
          <w:bCs/>
          <w:sz w:val="28"/>
          <w:szCs w:val="28"/>
        </w:rPr>
        <w:t>Код АТХ С10АА07</w:t>
      </w:r>
    </w:p>
    <w:p w:rsidR="00272632" w:rsidRPr="009C3B63" w:rsidRDefault="00272632" w:rsidP="009C3B63">
      <w:pPr>
        <w:jc w:val="both"/>
        <w:rPr>
          <w:sz w:val="28"/>
          <w:szCs w:val="28"/>
        </w:rPr>
      </w:pPr>
    </w:p>
    <w:p w:rsidR="00ED11C8" w:rsidRPr="009C3B63" w:rsidRDefault="00ED11C8" w:rsidP="009C3B63">
      <w:pPr>
        <w:pStyle w:val="a9"/>
        <w:autoSpaceDE w:val="0"/>
        <w:autoSpaceDN w:val="0"/>
        <w:adjustRightInd w:val="0"/>
        <w:ind w:right="226"/>
        <w:rPr>
          <w:rFonts w:ascii="Times New Roman" w:hAnsi="Times New Roman"/>
          <w:b/>
          <w:bCs/>
          <w:i w:val="0"/>
          <w:iCs w:val="0"/>
          <w:lang w:val="ru-RU"/>
        </w:rPr>
      </w:pPr>
      <w:r w:rsidRPr="009C3B63">
        <w:rPr>
          <w:rFonts w:ascii="Times New Roman" w:hAnsi="Times New Roman"/>
          <w:b/>
          <w:bCs/>
          <w:i w:val="0"/>
          <w:iCs w:val="0"/>
          <w:lang w:val="ru-RU"/>
        </w:rPr>
        <w:t>Показания к применению</w:t>
      </w:r>
    </w:p>
    <w:p w:rsidR="00C41C6F" w:rsidRPr="009C3B63" w:rsidRDefault="00C41C6F" w:rsidP="009C3B63">
      <w:pPr>
        <w:widowControl w:val="0"/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 w:rsidRPr="009C3B63">
        <w:rPr>
          <w:sz w:val="28"/>
          <w:szCs w:val="28"/>
        </w:rPr>
        <w:t xml:space="preserve">Терапия </w:t>
      </w:r>
      <w:proofErr w:type="spellStart"/>
      <w:r w:rsidRPr="009C3B63">
        <w:rPr>
          <w:sz w:val="28"/>
          <w:szCs w:val="28"/>
        </w:rPr>
        <w:t>гиперхолестеринемии</w:t>
      </w:r>
      <w:proofErr w:type="spellEnd"/>
    </w:p>
    <w:p w:rsidR="00C41C6F" w:rsidRPr="009C3B63" w:rsidRDefault="00C41C6F" w:rsidP="00420C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- первичная </w:t>
      </w:r>
      <w:proofErr w:type="spellStart"/>
      <w:r w:rsidRPr="009C3B63">
        <w:rPr>
          <w:sz w:val="28"/>
          <w:szCs w:val="28"/>
        </w:rPr>
        <w:t>гиперхолестеринемия</w:t>
      </w:r>
      <w:proofErr w:type="spellEnd"/>
      <w:r w:rsidRPr="009C3B63">
        <w:rPr>
          <w:sz w:val="28"/>
          <w:szCs w:val="28"/>
        </w:rPr>
        <w:t xml:space="preserve"> (тип </w:t>
      </w:r>
      <w:proofErr w:type="spellStart"/>
      <w:r w:rsidRPr="009C3B63">
        <w:rPr>
          <w:sz w:val="28"/>
          <w:szCs w:val="28"/>
        </w:rPr>
        <w:t>IIa</w:t>
      </w:r>
      <w:proofErr w:type="spellEnd"/>
      <w:r w:rsidRPr="009C3B63">
        <w:rPr>
          <w:sz w:val="28"/>
          <w:szCs w:val="28"/>
        </w:rPr>
        <w:t xml:space="preserve">, включая семейную гетерозиготную </w:t>
      </w:r>
      <w:proofErr w:type="spellStart"/>
      <w:r w:rsidRPr="009C3B63">
        <w:rPr>
          <w:sz w:val="28"/>
          <w:szCs w:val="28"/>
        </w:rPr>
        <w:t>гиперхолестеринемию</w:t>
      </w:r>
      <w:proofErr w:type="spellEnd"/>
      <w:r w:rsidRPr="009C3B63">
        <w:rPr>
          <w:sz w:val="28"/>
          <w:szCs w:val="28"/>
        </w:rPr>
        <w:t xml:space="preserve">) или смешанная </w:t>
      </w:r>
      <w:proofErr w:type="spellStart"/>
      <w:r w:rsidRPr="009C3B63">
        <w:rPr>
          <w:sz w:val="28"/>
          <w:szCs w:val="28"/>
        </w:rPr>
        <w:t>дислипидемия</w:t>
      </w:r>
      <w:proofErr w:type="spellEnd"/>
      <w:r w:rsidRPr="009C3B63">
        <w:rPr>
          <w:sz w:val="28"/>
          <w:szCs w:val="28"/>
        </w:rPr>
        <w:t xml:space="preserve"> (тип </w:t>
      </w:r>
      <w:proofErr w:type="spellStart"/>
      <w:r w:rsidRPr="009C3B63">
        <w:rPr>
          <w:sz w:val="28"/>
          <w:szCs w:val="28"/>
        </w:rPr>
        <w:t>IIb</w:t>
      </w:r>
      <w:proofErr w:type="spellEnd"/>
      <w:r w:rsidRPr="009C3B63">
        <w:rPr>
          <w:sz w:val="28"/>
          <w:szCs w:val="28"/>
        </w:rPr>
        <w:t xml:space="preserve">) </w:t>
      </w:r>
      <w:bookmarkStart w:id="2" w:name="_Hlk32997759"/>
      <w:r w:rsidRPr="009C3B63">
        <w:rPr>
          <w:sz w:val="28"/>
          <w:szCs w:val="28"/>
        </w:rPr>
        <w:t xml:space="preserve">у  взрослых, подростков и детей в возрасте от 6 лет и старше </w:t>
      </w:r>
      <w:bookmarkEnd w:id="2"/>
      <w:r w:rsidRPr="009C3B63">
        <w:rPr>
          <w:sz w:val="28"/>
          <w:szCs w:val="28"/>
        </w:rPr>
        <w:t>в качестве дополнения к диете, когда диета и другие немедикаментозные методы лечения (например, физические упражнения, снижение массы тела) оказываются недостаточными</w:t>
      </w:r>
    </w:p>
    <w:p w:rsidR="00C41C6F" w:rsidRPr="009C3B63" w:rsidRDefault="00C41C6F" w:rsidP="00420C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- семейная гомозиготная </w:t>
      </w:r>
      <w:proofErr w:type="spellStart"/>
      <w:r w:rsidRPr="009C3B63">
        <w:rPr>
          <w:sz w:val="28"/>
          <w:szCs w:val="28"/>
        </w:rPr>
        <w:t>гиперхолестеринемия</w:t>
      </w:r>
      <w:proofErr w:type="spellEnd"/>
      <w:r w:rsidRPr="009C3B63">
        <w:rPr>
          <w:sz w:val="28"/>
          <w:szCs w:val="28"/>
        </w:rPr>
        <w:t xml:space="preserve"> у  взрослых, подростков и детей в возрасте от 6 лет и старше в качестве дополнения к диете и другой </w:t>
      </w:r>
      <w:proofErr w:type="spellStart"/>
      <w:r w:rsidRPr="009C3B63">
        <w:rPr>
          <w:sz w:val="28"/>
          <w:szCs w:val="28"/>
        </w:rPr>
        <w:t>липидснижающей</w:t>
      </w:r>
      <w:proofErr w:type="spellEnd"/>
      <w:r w:rsidRPr="009C3B63">
        <w:rPr>
          <w:sz w:val="28"/>
          <w:szCs w:val="28"/>
        </w:rPr>
        <w:t xml:space="preserve"> терапии (например, ЛПНП-</w:t>
      </w:r>
      <w:proofErr w:type="spellStart"/>
      <w:r w:rsidRPr="009C3B63">
        <w:rPr>
          <w:sz w:val="28"/>
          <w:szCs w:val="28"/>
        </w:rPr>
        <w:t>аферез</w:t>
      </w:r>
      <w:proofErr w:type="spellEnd"/>
      <w:r w:rsidRPr="009C3B63">
        <w:rPr>
          <w:sz w:val="28"/>
          <w:szCs w:val="28"/>
        </w:rPr>
        <w:t>), или в случаях, когда подобная терапия не подходит пациенту</w:t>
      </w:r>
    </w:p>
    <w:p w:rsidR="00C41C6F" w:rsidRPr="009C3B63" w:rsidRDefault="00C41C6F" w:rsidP="009C3B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Профилактика </w:t>
      </w:r>
      <w:proofErr w:type="gramStart"/>
      <w:r w:rsidRPr="009C3B63">
        <w:rPr>
          <w:sz w:val="28"/>
          <w:szCs w:val="28"/>
        </w:rPr>
        <w:t>сердечно-сосудистых</w:t>
      </w:r>
      <w:proofErr w:type="gramEnd"/>
      <w:r w:rsidRPr="009C3B63">
        <w:rPr>
          <w:sz w:val="28"/>
          <w:szCs w:val="28"/>
        </w:rPr>
        <w:t xml:space="preserve"> заболеваний</w:t>
      </w:r>
    </w:p>
    <w:p w:rsidR="00C41C6F" w:rsidRPr="009C3B63" w:rsidRDefault="00C41C6F" w:rsidP="00420CC3">
      <w:pPr>
        <w:widowControl w:val="0"/>
        <w:autoSpaceDE w:val="0"/>
        <w:autoSpaceDN w:val="0"/>
        <w:adjustRightInd w:val="0"/>
        <w:jc w:val="both"/>
        <w:rPr>
          <w:strike/>
          <w:sz w:val="28"/>
          <w:szCs w:val="28"/>
        </w:rPr>
      </w:pPr>
      <w:r w:rsidRPr="009C3B63">
        <w:rPr>
          <w:sz w:val="28"/>
          <w:szCs w:val="28"/>
        </w:rPr>
        <w:t xml:space="preserve">- профилактика </w:t>
      </w:r>
      <w:proofErr w:type="gramStart"/>
      <w:r w:rsidRPr="009C3B63">
        <w:rPr>
          <w:sz w:val="28"/>
          <w:szCs w:val="28"/>
        </w:rPr>
        <w:t>сердечно-сосудистых</w:t>
      </w:r>
      <w:proofErr w:type="gramEnd"/>
      <w:r w:rsidRPr="009C3B63">
        <w:rPr>
          <w:sz w:val="28"/>
          <w:szCs w:val="28"/>
        </w:rPr>
        <w:t xml:space="preserve"> осложнений у взрослых пациентов </w:t>
      </w:r>
      <w:r w:rsidR="009B5B35" w:rsidRPr="009C3B63">
        <w:rPr>
          <w:sz w:val="28"/>
          <w:szCs w:val="28"/>
        </w:rPr>
        <w:t xml:space="preserve">с </w:t>
      </w:r>
      <w:r w:rsidRPr="009C3B63">
        <w:rPr>
          <w:sz w:val="28"/>
          <w:szCs w:val="28"/>
        </w:rPr>
        <w:t>высок</w:t>
      </w:r>
      <w:r w:rsidR="009B5B35" w:rsidRPr="009C3B63">
        <w:rPr>
          <w:sz w:val="28"/>
          <w:szCs w:val="28"/>
        </w:rPr>
        <w:t>им</w:t>
      </w:r>
      <w:r w:rsidRPr="009C3B63">
        <w:rPr>
          <w:sz w:val="28"/>
          <w:szCs w:val="28"/>
        </w:rPr>
        <w:t xml:space="preserve"> риск</w:t>
      </w:r>
      <w:r w:rsidR="009B5B35" w:rsidRPr="009C3B63">
        <w:rPr>
          <w:sz w:val="28"/>
          <w:szCs w:val="28"/>
        </w:rPr>
        <w:t>ом</w:t>
      </w:r>
      <w:r w:rsidRPr="009C3B63">
        <w:rPr>
          <w:sz w:val="28"/>
          <w:szCs w:val="28"/>
        </w:rPr>
        <w:t xml:space="preserve"> возникновения сердечно-сосудистых событий как дополнение к коррекции/терапии других факторов риска.</w:t>
      </w:r>
    </w:p>
    <w:p w:rsidR="00854F89" w:rsidRPr="009C3B63" w:rsidRDefault="00854F89" w:rsidP="009C3B63">
      <w:pPr>
        <w:jc w:val="both"/>
        <w:rPr>
          <w:b/>
          <w:sz w:val="28"/>
          <w:szCs w:val="28"/>
        </w:rPr>
      </w:pPr>
    </w:p>
    <w:p w:rsidR="003D0717" w:rsidRPr="009C3B63" w:rsidRDefault="003D0717" w:rsidP="009C3B63">
      <w:pPr>
        <w:jc w:val="both"/>
        <w:rPr>
          <w:b/>
          <w:sz w:val="28"/>
          <w:szCs w:val="28"/>
        </w:rPr>
      </w:pPr>
      <w:r w:rsidRPr="009C3B63">
        <w:rPr>
          <w:b/>
          <w:sz w:val="28"/>
          <w:szCs w:val="28"/>
        </w:rPr>
        <w:lastRenderedPageBreak/>
        <w:t>Перечень сведений, необходимых до начала применения</w:t>
      </w:r>
    </w:p>
    <w:p w:rsidR="00ED11C8" w:rsidRPr="009C3B63" w:rsidRDefault="00ED11C8" w:rsidP="009C3B63">
      <w:pPr>
        <w:jc w:val="both"/>
        <w:rPr>
          <w:b/>
          <w:i/>
          <w:sz w:val="28"/>
          <w:szCs w:val="28"/>
        </w:rPr>
      </w:pPr>
      <w:r w:rsidRPr="009C3B63">
        <w:rPr>
          <w:b/>
          <w:i/>
          <w:sz w:val="28"/>
          <w:szCs w:val="28"/>
        </w:rPr>
        <w:t>Противопоказания</w:t>
      </w:r>
    </w:p>
    <w:p w:rsidR="00B42E97" w:rsidRPr="009C3B63" w:rsidRDefault="00B42E97" w:rsidP="0049768F">
      <w:pPr>
        <w:pStyle w:val="a3"/>
        <w:numPr>
          <w:ilvl w:val="0"/>
          <w:numId w:val="16"/>
        </w:numPr>
        <w:tabs>
          <w:tab w:val="left" w:pos="284"/>
        </w:tabs>
        <w:ind w:left="284" w:hanging="284"/>
        <w:rPr>
          <w:rFonts w:eastAsia="Arial Unicode MS"/>
          <w:szCs w:val="28"/>
        </w:rPr>
      </w:pPr>
      <w:r w:rsidRPr="009C3B63">
        <w:rPr>
          <w:rFonts w:eastAsia="Arial Unicode MS"/>
          <w:szCs w:val="28"/>
        </w:rPr>
        <w:t>повышенная чувствительност</w:t>
      </w:r>
      <w:r w:rsidR="0049768F">
        <w:rPr>
          <w:rFonts w:eastAsia="Arial Unicode MS"/>
          <w:szCs w:val="28"/>
        </w:rPr>
        <w:t xml:space="preserve">ь к </w:t>
      </w:r>
      <w:proofErr w:type="spellStart"/>
      <w:r w:rsidR="0049768F">
        <w:rPr>
          <w:rFonts w:eastAsia="Arial Unicode MS"/>
          <w:szCs w:val="28"/>
        </w:rPr>
        <w:t>розувастатину</w:t>
      </w:r>
      <w:proofErr w:type="spellEnd"/>
      <w:r w:rsidR="0049768F">
        <w:rPr>
          <w:rFonts w:eastAsia="Arial Unicode MS"/>
          <w:szCs w:val="28"/>
        </w:rPr>
        <w:t xml:space="preserve"> или любому из </w:t>
      </w:r>
      <w:r w:rsidRPr="009C3B63">
        <w:rPr>
          <w:rFonts w:eastAsia="Arial Unicode MS"/>
          <w:szCs w:val="28"/>
        </w:rPr>
        <w:t>компонентов  препарата</w:t>
      </w:r>
    </w:p>
    <w:p w:rsidR="00B42E97" w:rsidRPr="009C3B63" w:rsidRDefault="00B42E97" w:rsidP="0049768F">
      <w:pPr>
        <w:pStyle w:val="a3"/>
        <w:numPr>
          <w:ilvl w:val="0"/>
          <w:numId w:val="16"/>
        </w:numPr>
        <w:tabs>
          <w:tab w:val="left" w:pos="284"/>
        </w:tabs>
        <w:ind w:left="284" w:hanging="284"/>
        <w:rPr>
          <w:rFonts w:eastAsia="Arial Unicode MS"/>
          <w:szCs w:val="28"/>
        </w:rPr>
      </w:pPr>
      <w:r w:rsidRPr="009C3B63">
        <w:rPr>
          <w:rFonts w:eastAsia="Arial Unicode MS"/>
          <w:szCs w:val="28"/>
        </w:rPr>
        <w:t xml:space="preserve">заболевания печени в активной фазе, включая стойкое повышение  сывороточной активности </w:t>
      </w:r>
      <w:proofErr w:type="spellStart"/>
      <w:r w:rsidRPr="009C3B63">
        <w:rPr>
          <w:rFonts w:eastAsia="Arial Unicode MS"/>
          <w:szCs w:val="28"/>
        </w:rPr>
        <w:t>трансаминаз</w:t>
      </w:r>
      <w:proofErr w:type="spellEnd"/>
      <w:r w:rsidRPr="009C3B63">
        <w:rPr>
          <w:rFonts w:eastAsia="Arial Unicode MS"/>
          <w:szCs w:val="28"/>
        </w:rPr>
        <w:t xml:space="preserve"> и любое повышение активности   </w:t>
      </w:r>
      <w:proofErr w:type="spellStart"/>
      <w:r w:rsidRPr="009C3B63">
        <w:rPr>
          <w:rFonts w:eastAsia="Arial Unicode MS"/>
          <w:szCs w:val="28"/>
        </w:rPr>
        <w:t>трансаминаз</w:t>
      </w:r>
      <w:proofErr w:type="spellEnd"/>
      <w:r w:rsidRPr="009C3B63">
        <w:rPr>
          <w:rFonts w:eastAsia="Arial Unicode MS"/>
          <w:szCs w:val="28"/>
        </w:rPr>
        <w:t xml:space="preserve"> в сыворотке крови (более чем в 3 раза по сравнению с верхней границей нормы)</w:t>
      </w:r>
    </w:p>
    <w:p w:rsidR="00B42E97" w:rsidRPr="009C3B63" w:rsidRDefault="00B42E97" w:rsidP="0049768F">
      <w:pPr>
        <w:pStyle w:val="a3"/>
        <w:numPr>
          <w:ilvl w:val="0"/>
          <w:numId w:val="16"/>
        </w:numPr>
        <w:tabs>
          <w:tab w:val="left" w:pos="284"/>
        </w:tabs>
        <w:ind w:left="284" w:hanging="284"/>
        <w:rPr>
          <w:rFonts w:eastAsia="Arial Unicode MS"/>
          <w:szCs w:val="28"/>
        </w:rPr>
      </w:pPr>
      <w:r w:rsidRPr="009C3B63">
        <w:rPr>
          <w:rFonts w:eastAsia="Arial Unicode MS"/>
          <w:szCs w:val="28"/>
        </w:rPr>
        <w:t xml:space="preserve">выраженные нарушения функции почек (клиренс </w:t>
      </w:r>
      <w:proofErr w:type="spellStart"/>
      <w:r w:rsidRPr="009C3B63">
        <w:rPr>
          <w:rFonts w:eastAsia="Arial Unicode MS"/>
          <w:szCs w:val="28"/>
        </w:rPr>
        <w:t>креатинина</w:t>
      </w:r>
      <w:proofErr w:type="spellEnd"/>
      <w:r w:rsidRPr="009C3B63">
        <w:rPr>
          <w:rFonts w:eastAsia="Arial Unicode MS"/>
          <w:szCs w:val="28"/>
        </w:rPr>
        <w:t xml:space="preserve"> менее 30   мл/мин) </w:t>
      </w:r>
    </w:p>
    <w:p w:rsidR="00B42E97" w:rsidRPr="009C3B63" w:rsidRDefault="00B42E97" w:rsidP="0049768F">
      <w:pPr>
        <w:pStyle w:val="a3"/>
        <w:numPr>
          <w:ilvl w:val="0"/>
          <w:numId w:val="16"/>
        </w:numPr>
        <w:tabs>
          <w:tab w:val="left" w:pos="284"/>
        </w:tabs>
        <w:ind w:left="284" w:hanging="284"/>
        <w:rPr>
          <w:rFonts w:eastAsia="Arial Unicode MS"/>
          <w:szCs w:val="28"/>
        </w:rPr>
      </w:pPr>
      <w:r w:rsidRPr="009C3B63">
        <w:rPr>
          <w:rFonts w:eastAsia="Arial Unicode MS"/>
          <w:szCs w:val="28"/>
        </w:rPr>
        <w:t>миопатии</w:t>
      </w:r>
    </w:p>
    <w:p w:rsidR="00A07AFD" w:rsidRPr="009C3B63" w:rsidRDefault="00A07AFD" w:rsidP="0049768F">
      <w:pPr>
        <w:pStyle w:val="a3"/>
        <w:numPr>
          <w:ilvl w:val="0"/>
          <w:numId w:val="16"/>
        </w:numPr>
        <w:tabs>
          <w:tab w:val="left" w:pos="284"/>
        </w:tabs>
        <w:ind w:left="284" w:hanging="284"/>
        <w:rPr>
          <w:rFonts w:eastAsia="Arial Unicode MS"/>
          <w:szCs w:val="28"/>
        </w:rPr>
      </w:pPr>
      <w:r w:rsidRPr="009C3B63">
        <w:rPr>
          <w:rFonts w:eastAsia="Arial Unicode MS"/>
          <w:szCs w:val="28"/>
        </w:rPr>
        <w:t xml:space="preserve">одновременный прием </w:t>
      </w:r>
      <w:proofErr w:type="spellStart"/>
      <w:r w:rsidRPr="009C3B63">
        <w:rPr>
          <w:rFonts w:eastAsia="Arial Unicode MS"/>
          <w:szCs w:val="28"/>
        </w:rPr>
        <w:t>софосбувира</w:t>
      </w:r>
      <w:proofErr w:type="spellEnd"/>
      <w:r w:rsidRPr="009C3B63">
        <w:rPr>
          <w:rFonts w:eastAsia="Arial Unicode MS"/>
          <w:szCs w:val="28"/>
        </w:rPr>
        <w:t>/</w:t>
      </w:r>
      <w:proofErr w:type="spellStart"/>
      <w:r w:rsidRPr="009C3B63">
        <w:rPr>
          <w:rFonts w:eastAsia="Arial Unicode MS"/>
          <w:szCs w:val="28"/>
        </w:rPr>
        <w:t>велпатасвира</w:t>
      </w:r>
      <w:proofErr w:type="spellEnd"/>
      <w:r w:rsidRPr="009C3B63">
        <w:rPr>
          <w:rFonts w:eastAsia="Arial Unicode MS"/>
          <w:szCs w:val="28"/>
        </w:rPr>
        <w:t>/</w:t>
      </w:r>
      <w:proofErr w:type="spellStart"/>
      <w:r w:rsidRPr="009C3B63">
        <w:rPr>
          <w:rFonts w:eastAsia="Arial Unicode MS"/>
          <w:szCs w:val="28"/>
        </w:rPr>
        <w:t>воксилапревира</w:t>
      </w:r>
      <w:proofErr w:type="spellEnd"/>
    </w:p>
    <w:p w:rsidR="0049768F" w:rsidRDefault="00B42E97" w:rsidP="0049768F">
      <w:pPr>
        <w:pStyle w:val="a3"/>
        <w:numPr>
          <w:ilvl w:val="0"/>
          <w:numId w:val="16"/>
        </w:numPr>
        <w:tabs>
          <w:tab w:val="left" w:pos="284"/>
        </w:tabs>
        <w:ind w:left="284" w:hanging="284"/>
        <w:rPr>
          <w:rFonts w:eastAsia="Arial Unicode MS"/>
          <w:szCs w:val="28"/>
        </w:rPr>
      </w:pPr>
      <w:r w:rsidRPr="009C3B63">
        <w:rPr>
          <w:rFonts w:eastAsia="Arial Unicode MS"/>
          <w:szCs w:val="28"/>
        </w:rPr>
        <w:t xml:space="preserve">одновременный приём </w:t>
      </w:r>
      <w:proofErr w:type="spellStart"/>
      <w:r w:rsidRPr="009C3B63">
        <w:rPr>
          <w:rFonts w:eastAsia="Arial Unicode MS"/>
          <w:szCs w:val="28"/>
        </w:rPr>
        <w:t>циклоспорина</w:t>
      </w:r>
      <w:proofErr w:type="spellEnd"/>
    </w:p>
    <w:p w:rsidR="0049768F" w:rsidRDefault="0049768F" w:rsidP="0049768F">
      <w:pPr>
        <w:pStyle w:val="a3"/>
        <w:numPr>
          <w:ilvl w:val="0"/>
          <w:numId w:val="16"/>
        </w:numPr>
        <w:tabs>
          <w:tab w:val="left" w:pos="284"/>
        </w:tabs>
        <w:ind w:left="284" w:hanging="284"/>
        <w:rPr>
          <w:rFonts w:eastAsia="Arial Unicode MS"/>
          <w:szCs w:val="28"/>
        </w:rPr>
      </w:pPr>
      <w:r w:rsidRPr="0049768F">
        <w:rPr>
          <w:rFonts w:eastAsia="Arial Unicode MS"/>
          <w:szCs w:val="28"/>
        </w:rPr>
        <w:t xml:space="preserve">период беременности и кормления грудью, при отсутствии </w:t>
      </w:r>
      <w:r w:rsidR="00B42E97" w:rsidRPr="0049768F">
        <w:rPr>
          <w:rFonts w:eastAsia="Arial Unicode MS"/>
          <w:szCs w:val="28"/>
        </w:rPr>
        <w:t>адекватных методов контрацепции</w:t>
      </w:r>
    </w:p>
    <w:p w:rsidR="0049768F" w:rsidRPr="0049768F" w:rsidRDefault="0049768F" w:rsidP="0049768F">
      <w:pPr>
        <w:pStyle w:val="a3"/>
        <w:numPr>
          <w:ilvl w:val="0"/>
          <w:numId w:val="16"/>
        </w:numPr>
        <w:tabs>
          <w:tab w:val="left" w:pos="284"/>
        </w:tabs>
        <w:ind w:left="284" w:hanging="284"/>
        <w:rPr>
          <w:rFonts w:eastAsia="Arial Unicode MS"/>
          <w:szCs w:val="28"/>
        </w:rPr>
      </w:pPr>
      <w:r w:rsidRPr="0049768F">
        <w:rPr>
          <w:rFonts w:eastAsia="Arial Unicode MS"/>
          <w:szCs w:val="28"/>
        </w:rPr>
        <w:t xml:space="preserve">лица с наследственной непереносимостью галактозы, дефицитом фермента </w:t>
      </w:r>
      <w:proofErr w:type="spellStart"/>
      <w:r w:rsidRPr="0049768F">
        <w:rPr>
          <w:rFonts w:eastAsia="Arial Unicode MS"/>
          <w:szCs w:val="28"/>
        </w:rPr>
        <w:t>Lapp</w:t>
      </w:r>
      <w:proofErr w:type="spellEnd"/>
      <w:r w:rsidRPr="0049768F">
        <w:rPr>
          <w:rFonts w:eastAsia="Arial Unicode MS"/>
          <w:szCs w:val="28"/>
        </w:rPr>
        <w:t xml:space="preserve"> (ЛАПП</w:t>
      </w:r>
      <w:proofErr w:type="gramStart"/>
      <w:r w:rsidRPr="0049768F">
        <w:rPr>
          <w:rFonts w:eastAsia="Arial Unicode MS"/>
          <w:szCs w:val="28"/>
        </w:rPr>
        <w:t>)-</w:t>
      </w:r>
      <w:proofErr w:type="spellStart"/>
      <w:proofErr w:type="gramEnd"/>
      <w:r w:rsidRPr="0049768F">
        <w:rPr>
          <w:rFonts w:eastAsia="Arial Unicode MS"/>
          <w:szCs w:val="28"/>
        </w:rPr>
        <w:t>лактазы</w:t>
      </w:r>
      <w:proofErr w:type="spellEnd"/>
      <w:r w:rsidRPr="0049768F">
        <w:rPr>
          <w:rFonts w:eastAsia="Arial Unicode MS"/>
          <w:szCs w:val="28"/>
        </w:rPr>
        <w:t xml:space="preserve">, </w:t>
      </w:r>
      <w:proofErr w:type="spellStart"/>
      <w:r w:rsidRPr="0049768F">
        <w:rPr>
          <w:rFonts w:eastAsia="Arial Unicode MS"/>
          <w:szCs w:val="28"/>
        </w:rPr>
        <w:t>мальабсорбцией</w:t>
      </w:r>
      <w:proofErr w:type="spellEnd"/>
      <w:r w:rsidRPr="0049768F">
        <w:rPr>
          <w:rFonts w:eastAsia="Arial Unicode MS"/>
          <w:szCs w:val="28"/>
        </w:rPr>
        <w:t xml:space="preserve"> глюкозы-галактозы</w:t>
      </w:r>
    </w:p>
    <w:p w:rsidR="0049768F" w:rsidRDefault="0049768F" w:rsidP="009C3B63">
      <w:pPr>
        <w:pStyle w:val="a3"/>
        <w:rPr>
          <w:rFonts w:eastAsia="Arial Unicode MS"/>
          <w:i/>
          <w:szCs w:val="28"/>
        </w:rPr>
      </w:pPr>
    </w:p>
    <w:p w:rsidR="00B42E97" w:rsidRPr="009C3B63" w:rsidRDefault="00B42E97" w:rsidP="009C3B63">
      <w:pPr>
        <w:pStyle w:val="a3"/>
        <w:rPr>
          <w:rFonts w:eastAsia="Arial Unicode MS"/>
          <w:i/>
          <w:szCs w:val="28"/>
        </w:rPr>
      </w:pPr>
      <w:r w:rsidRPr="009C3B63">
        <w:rPr>
          <w:rFonts w:eastAsia="Arial Unicode MS"/>
          <w:i/>
          <w:szCs w:val="28"/>
        </w:rPr>
        <w:t xml:space="preserve">Для дозы 40 мг: </w:t>
      </w:r>
      <w:proofErr w:type="gramStart"/>
      <w:r w:rsidRPr="009C3B63">
        <w:rPr>
          <w:rFonts w:eastAsia="Arial Unicode MS"/>
          <w:i/>
          <w:szCs w:val="28"/>
        </w:rPr>
        <w:t>противопоказана</w:t>
      </w:r>
      <w:proofErr w:type="gramEnd"/>
      <w:r w:rsidRPr="009C3B63">
        <w:rPr>
          <w:rFonts w:eastAsia="Arial Unicode MS"/>
          <w:i/>
          <w:szCs w:val="28"/>
        </w:rPr>
        <w:t xml:space="preserve">  лицам с наличием факторов предрасположенности к развитию миопатии и </w:t>
      </w:r>
      <w:proofErr w:type="spellStart"/>
      <w:r w:rsidRPr="009C3B63">
        <w:rPr>
          <w:rFonts w:eastAsia="Arial Unicode MS"/>
          <w:i/>
          <w:szCs w:val="28"/>
        </w:rPr>
        <w:t>рабдомиолизу</w:t>
      </w:r>
      <w:proofErr w:type="spellEnd"/>
      <w:r w:rsidRPr="009C3B63">
        <w:rPr>
          <w:rFonts w:eastAsia="Arial Unicode MS"/>
          <w:i/>
          <w:szCs w:val="28"/>
        </w:rPr>
        <w:t>, такие как</w:t>
      </w:r>
    </w:p>
    <w:p w:rsidR="00B42E97" w:rsidRPr="009C3B63" w:rsidRDefault="00B42E97" w:rsidP="0049768F">
      <w:pPr>
        <w:pStyle w:val="a3"/>
        <w:numPr>
          <w:ilvl w:val="0"/>
          <w:numId w:val="17"/>
        </w:numPr>
        <w:ind w:left="284" w:hanging="284"/>
        <w:rPr>
          <w:rFonts w:eastAsia="Arial Unicode MS"/>
          <w:szCs w:val="28"/>
        </w:rPr>
      </w:pPr>
      <w:r w:rsidRPr="009C3B63">
        <w:rPr>
          <w:rFonts w:eastAsia="Arial Unicode MS"/>
          <w:szCs w:val="28"/>
        </w:rPr>
        <w:t xml:space="preserve">почечная недостаточность средней степени тяжести (клиренс </w:t>
      </w:r>
      <w:proofErr w:type="spellStart"/>
      <w:r w:rsidRPr="009C3B63">
        <w:rPr>
          <w:rFonts w:eastAsia="Arial Unicode MS"/>
          <w:szCs w:val="28"/>
        </w:rPr>
        <w:t>креатинина</w:t>
      </w:r>
      <w:proofErr w:type="spellEnd"/>
      <w:r w:rsidRPr="009C3B63">
        <w:rPr>
          <w:rFonts w:eastAsia="Arial Unicode MS"/>
          <w:szCs w:val="28"/>
        </w:rPr>
        <w:t xml:space="preserve">  менее 60 мл/мин)</w:t>
      </w:r>
    </w:p>
    <w:p w:rsidR="00B42E97" w:rsidRPr="009C3B63" w:rsidRDefault="00B42E97" w:rsidP="0049768F">
      <w:pPr>
        <w:pStyle w:val="a3"/>
        <w:numPr>
          <w:ilvl w:val="0"/>
          <w:numId w:val="17"/>
        </w:numPr>
        <w:ind w:left="284" w:hanging="284"/>
        <w:rPr>
          <w:rFonts w:eastAsia="Arial Unicode MS"/>
          <w:szCs w:val="28"/>
        </w:rPr>
      </w:pPr>
      <w:r w:rsidRPr="009C3B63">
        <w:rPr>
          <w:rFonts w:eastAsia="Arial Unicode MS"/>
          <w:szCs w:val="28"/>
        </w:rPr>
        <w:t>гипотиреоз</w:t>
      </w:r>
    </w:p>
    <w:p w:rsidR="00B42E97" w:rsidRPr="009C3B63" w:rsidRDefault="00B42E97" w:rsidP="0049768F">
      <w:pPr>
        <w:pStyle w:val="a3"/>
        <w:numPr>
          <w:ilvl w:val="0"/>
          <w:numId w:val="17"/>
        </w:numPr>
        <w:ind w:left="284" w:hanging="284"/>
        <w:rPr>
          <w:rFonts w:eastAsia="Arial Unicode MS"/>
          <w:szCs w:val="28"/>
        </w:rPr>
      </w:pPr>
      <w:r w:rsidRPr="009C3B63">
        <w:rPr>
          <w:rFonts w:eastAsia="Arial Unicode MS"/>
          <w:szCs w:val="28"/>
        </w:rPr>
        <w:t>мышечные заболевания в анамнезе, индивидуальная или генетическая предрасположенность к врожденным мышечным расстройствам</w:t>
      </w:r>
    </w:p>
    <w:p w:rsidR="00B42E97" w:rsidRPr="009C3B63" w:rsidRDefault="00B42E97" w:rsidP="0049768F">
      <w:pPr>
        <w:pStyle w:val="a3"/>
        <w:numPr>
          <w:ilvl w:val="0"/>
          <w:numId w:val="17"/>
        </w:numPr>
        <w:ind w:left="284" w:hanging="284"/>
        <w:rPr>
          <w:rFonts w:eastAsia="Arial Unicode MS"/>
          <w:szCs w:val="28"/>
        </w:rPr>
      </w:pPr>
      <w:proofErr w:type="spellStart"/>
      <w:r w:rsidRPr="009C3B63">
        <w:rPr>
          <w:rFonts w:eastAsia="Arial Unicode MS"/>
          <w:szCs w:val="28"/>
        </w:rPr>
        <w:t>миотоксичность</w:t>
      </w:r>
      <w:proofErr w:type="spellEnd"/>
      <w:r w:rsidRPr="009C3B63">
        <w:rPr>
          <w:rFonts w:eastAsia="Arial Unicode MS"/>
          <w:szCs w:val="28"/>
        </w:rPr>
        <w:t xml:space="preserve"> на фоне приема других ингибиторов ГМГ–</w:t>
      </w:r>
      <w:proofErr w:type="spellStart"/>
      <w:r w:rsidRPr="009C3B63">
        <w:rPr>
          <w:rFonts w:eastAsia="Arial Unicode MS"/>
          <w:szCs w:val="28"/>
        </w:rPr>
        <w:t>КоА</w:t>
      </w:r>
      <w:proofErr w:type="spellEnd"/>
      <w:r w:rsidRPr="009C3B63">
        <w:rPr>
          <w:rFonts w:eastAsia="Arial Unicode MS"/>
          <w:szCs w:val="28"/>
        </w:rPr>
        <w:t xml:space="preserve"> – </w:t>
      </w:r>
      <w:proofErr w:type="spellStart"/>
      <w:r w:rsidRPr="009C3B63">
        <w:rPr>
          <w:rFonts w:eastAsia="Arial Unicode MS"/>
          <w:szCs w:val="28"/>
        </w:rPr>
        <w:t>редуктазы</w:t>
      </w:r>
      <w:proofErr w:type="spellEnd"/>
      <w:r w:rsidRPr="009C3B63">
        <w:rPr>
          <w:rFonts w:eastAsia="Arial Unicode MS"/>
          <w:szCs w:val="28"/>
        </w:rPr>
        <w:t xml:space="preserve"> или </w:t>
      </w:r>
      <w:proofErr w:type="spellStart"/>
      <w:r w:rsidRPr="009C3B63">
        <w:rPr>
          <w:rFonts w:eastAsia="Arial Unicode MS"/>
          <w:szCs w:val="28"/>
        </w:rPr>
        <w:t>фибратов</w:t>
      </w:r>
      <w:proofErr w:type="spellEnd"/>
      <w:r w:rsidRPr="009C3B63">
        <w:rPr>
          <w:rFonts w:eastAsia="Arial Unicode MS"/>
          <w:szCs w:val="28"/>
        </w:rPr>
        <w:t xml:space="preserve"> в анамнезе </w:t>
      </w:r>
    </w:p>
    <w:p w:rsidR="00B42E97" w:rsidRPr="009C3B63" w:rsidRDefault="00B42E97" w:rsidP="0049768F">
      <w:pPr>
        <w:pStyle w:val="a3"/>
        <w:numPr>
          <w:ilvl w:val="0"/>
          <w:numId w:val="17"/>
        </w:numPr>
        <w:ind w:left="284" w:hanging="284"/>
        <w:rPr>
          <w:rFonts w:eastAsia="Arial Unicode MS"/>
          <w:szCs w:val="28"/>
        </w:rPr>
      </w:pPr>
      <w:r w:rsidRPr="009C3B63">
        <w:rPr>
          <w:rFonts w:eastAsia="Arial Unicode MS"/>
          <w:szCs w:val="28"/>
        </w:rPr>
        <w:t xml:space="preserve">состояния, которые могут приводить к повышению плазменной концентрации </w:t>
      </w:r>
      <w:proofErr w:type="spellStart"/>
      <w:r w:rsidRPr="009C3B63">
        <w:rPr>
          <w:rFonts w:eastAsia="Arial Unicode MS"/>
          <w:szCs w:val="28"/>
        </w:rPr>
        <w:t>розувастатина</w:t>
      </w:r>
      <w:proofErr w:type="spellEnd"/>
    </w:p>
    <w:p w:rsidR="00B42E97" w:rsidRPr="009C3B63" w:rsidRDefault="00B42E97" w:rsidP="0049768F">
      <w:pPr>
        <w:pStyle w:val="a3"/>
        <w:numPr>
          <w:ilvl w:val="0"/>
          <w:numId w:val="17"/>
        </w:numPr>
        <w:ind w:left="284" w:hanging="284"/>
        <w:rPr>
          <w:rFonts w:eastAsia="Arial Unicode MS"/>
          <w:szCs w:val="28"/>
        </w:rPr>
      </w:pPr>
      <w:r w:rsidRPr="009C3B63">
        <w:rPr>
          <w:rFonts w:eastAsia="Arial Unicode MS"/>
          <w:szCs w:val="28"/>
        </w:rPr>
        <w:t xml:space="preserve">одновременный приём </w:t>
      </w:r>
      <w:proofErr w:type="spellStart"/>
      <w:r w:rsidRPr="009C3B63">
        <w:rPr>
          <w:rFonts w:eastAsia="Arial Unicode MS"/>
          <w:szCs w:val="28"/>
        </w:rPr>
        <w:t>фибратов</w:t>
      </w:r>
      <w:proofErr w:type="spellEnd"/>
    </w:p>
    <w:p w:rsidR="00B42E97" w:rsidRPr="009C3B63" w:rsidRDefault="00B42E97" w:rsidP="0049768F">
      <w:pPr>
        <w:pStyle w:val="a3"/>
        <w:numPr>
          <w:ilvl w:val="0"/>
          <w:numId w:val="17"/>
        </w:numPr>
        <w:ind w:left="284" w:hanging="284"/>
        <w:rPr>
          <w:rFonts w:eastAsia="Arial Unicode MS"/>
          <w:szCs w:val="28"/>
        </w:rPr>
      </w:pPr>
      <w:r w:rsidRPr="009C3B63">
        <w:rPr>
          <w:rFonts w:eastAsia="Arial Unicode MS"/>
          <w:szCs w:val="28"/>
        </w:rPr>
        <w:t>пациенты азиатской расы</w:t>
      </w:r>
    </w:p>
    <w:p w:rsidR="00B42E97" w:rsidRPr="009C3B63" w:rsidRDefault="00B42E97" w:rsidP="0049768F">
      <w:pPr>
        <w:pStyle w:val="a3"/>
        <w:numPr>
          <w:ilvl w:val="0"/>
          <w:numId w:val="17"/>
        </w:numPr>
        <w:ind w:left="284" w:hanging="284"/>
        <w:rPr>
          <w:rFonts w:eastAsia="Arial Unicode MS"/>
          <w:szCs w:val="28"/>
        </w:rPr>
      </w:pPr>
      <w:r w:rsidRPr="009C3B63">
        <w:rPr>
          <w:rFonts w:eastAsia="Arial Unicode MS"/>
          <w:szCs w:val="28"/>
        </w:rPr>
        <w:t>злоупотребление алкоголем</w:t>
      </w:r>
    </w:p>
    <w:p w:rsidR="0049768F" w:rsidRDefault="0049768F" w:rsidP="009C3B63">
      <w:pPr>
        <w:pStyle w:val="a3"/>
        <w:rPr>
          <w:b/>
          <w:i/>
          <w:szCs w:val="28"/>
        </w:rPr>
      </w:pPr>
    </w:p>
    <w:p w:rsidR="00FD6006" w:rsidRPr="009C3B63" w:rsidRDefault="00FD6006" w:rsidP="009C3B63">
      <w:pPr>
        <w:pStyle w:val="a3"/>
        <w:rPr>
          <w:i/>
          <w:szCs w:val="28"/>
        </w:rPr>
      </w:pPr>
      <w:r w:rsidRPr="009C3B63">
        <w:rPr>
          <w:b/>
          <w:i/>
          <w:szCs w:val="28"/>
        </w:rPr>
        <w:t>Необходимые меры предосторожности при применении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>Препарат применяют по назначению врача. Следует проинформировать врача перед назначением препарата и в период терапии препаратом в следующих случаях: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>- нарушение функции почек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>- нарушение функции печени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>- нарушение функции щитовидной железы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>- повторяющиеся или необъяснимые мышечные боли при приеме других лекарственных препаратов для снижения уровня холестерина в анамнезе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>- постоянная мышечная слабость</w:t>
      </w:r>
    </w:p>
    <w:p w:rsidR="009A1598" w:rsidRDefault="005F6BE8" w:rsidP="009C3B63">
      <w:pPr>
        <w:pStyle w:val="a3"/>
        <w:rPr>
          <w:szCs w:val="28"/>
        </w:rPr>
      </w:pPr>
      <w:r w:rsidRPr="009C3B63">
        <w:rPr>
          <w:szCs w:val="28"/>
        </w:rPr>
        <w:t>- наличие в прошлом таких реакций как кожная сыпь, шелушение кожи,</w:t>
      </w:r>
    </w:p>
    <w:p w:rsidR="005F6BE8" w:rsidRPr="009C3B63" w:rsidRDefault="005F6BE8" w:rsidP="009C3B63">
      <w:pPr>
        <w:pStyle w:val="a3"/>
        <w:rPr>
          <w:szCs w:val="28"/>
        </w:rPr>
      </w:pPr>
      <w:r w:rsidRPr="009C3B63">
        <w:rPr>
          <w:szCs w:val="28"/>
        </w:rPr>
        <w:lastRenderedPageBreak/>
        <w:t xml:space="preserve">образование волдырей и / или язв во рту после приема препарата </w:t>
      </w:r>
      <w:r w:rsidR="00706B95" w:rsidRPr="00082743">
        <w:rPr>
          <w:bCs/>
          <w:caps/>
          <w:sz w:val="24"/>
          <w:szCs w:val="24"/>
        </w:rPr>
        <w:t>[</w:t>
      </w:r>
      <w:r w:rsidR="00706B95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706B95" w:rsidRPr="00082743">
        <w:rPr>
          <w:bCs/>
          <w:caps/>
          <w:sz w:val="24"/>
          <w:szCs w:val="24"/>
        </w:rPr>
        <w:t>]</w:t>
      </w:r>
      <w:r w:rsidRPr="009C3B63">
        <w:rPr>
          <w:szCs w:val="28"/>
        </w:rPr>
        <w:t xml:space="preserve"> или других родственных лекарственных препаратов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>- возраст более 70 лет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>- нарушение дыхания (декомпенсированная дыхательная недостаточность)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>- пациент азиатской расы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>- чрезмерное употребление алкоголя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 xml:space="preserve">- прием </w:t>
      </w:r>
      <w:proofErr w:type="spellStart"/>
      <w:r w:rsidRPr="009C3B63">
        <w:rPr>
          <w:szCs w:val="28"/>
        </w:rPr>
        <w:t>циклоспорина</w:t>
      </w:r>
      <w:proofErr w:type="spellEnd"/>
      <w:r w:rsidRPr="009C3B63">
        <w:rPr>
          <w:szCs w:val="28"/>
        </w:rPr>
        <w:t>, эритромицина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 xml:space="preserve">- прием </w:t>
      </w:r>
      <w:proofErr w:type="spellStart"/>
      <w:r w:rsidRPr="009C3B63">
        <w:rPr>
          <w:szCs w:val="28"/>
        </w:rPr>
        <w:t>варфарина</w:t>
      </w:r>
      <w:proofErr w:type="spellEnd"/>
      <w:r w:rsidRPr="009C3B63">
        <w:rPr>
          <w:szCs w:val="28"/>
        </w:rPr>
        <w:t xml:space="preserve">, </w:t>
      </w:r>
      <w:proofErr w:type="spellStart"/>
      <w:r w:rsidRPr="009C3B63">
        <w:rPr>
          <w:szCs w:val="28"/>
        </w:rPr>
        <w:t>клопидогрела</w:t>
      </w:r>
      <w:proofErr w:type="spellEnd"/>
      <w:r w:rsidRPr="009C3B63">
        <w:rPr>
          <w:szCs w:val="28"/>
        </w:rPr>
        <w:t xml:space="preserve"> или любого другого антикоагулянта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 xml:space="preserve">- прием лекарственных препаратов группы </w:t>
      </w:r>
      <w:proofErr w:type="spellStart"/>
      <w:r w:rsidRPr="009C3B63">
        <w:rPr>
          <w:szCs w:val="28"/>
        </w:rPr>
        <w:t>фибратов</w:t>
      </w:r>
      <w:proofErr w:type="spellEnd"/>
      <w:r w:rsidRPr="009C3B63">
        <w:rPr>
          <w:szCs w:val="28"/>
        </w:rPr>
        <w:t xml:space="preserve"> (например, </w:t>
      </w:r>
      <w:proofErr w:type="spellStart"/>
      <w:r w:rsidRPr="009C3B63">
        <w:rPr>
          <w:szCs w:val="28"/>
        </w:rPr>
        <w:t>гемфиброзил</w:t>
      </w:r>
      <w:proofErr w:type="spellEnd"/>
      <w:r w:rsidRPr="009C3B63">
        <w:rPr>
          <w:szCs w:val="28"/>
        </w:rPr>
        <w:t xml:space="preserve">, </w:t>
      </w:r>
      <w:proofErr w:type="spellStart"/>
      <w:r w:rsidRPr="009C3B63">
        <w:rPr>
          <w:szCs w:val="28"/>
        </w:rPr>
        <w:t>фенофибрат</w:t>
      </w:r>
      <w:proofErr w:type="spellEnd"/>
      <w:r w:rsidRPr="009C3B63">
        <w:rPr>
          <w:szCs w:val="28"/>
        </w:rPr>
        <w:t xml:space="preserve">) или любого другого лекарственного средства, используемого для снижения уровня холестерина в крови (например, </w:t>
      </w:r>
      <w:proofErr w:type="spellStart"/>
      <w:r w:rsidRPr="009C3B63">
        <w:rPr>
          <w:szCs w:val="28"/>
        </w:rPr>
        <w:t>эзетимиб</w:t>
      </w:r>
      <w:proofErr w:type="spellEnd"/>
      <w:r w:rsidRPr="009C3B63">
        <w:rPr>
          <w:szCs w:val="28"/>
        </w:rPr>
        <w:t>)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 xml:space="preserve">- прием лекарственных препаратов для лечения ВИЧ инфекции или гепатита С, отдельно или в комбинации (например, </w:t>
      </w:r>
      <w:proofErr w:type="spellStart"/>
      <w:r w:rsidRPr="009C3B63">
        <w:rPr>
          <w:szCs w:val="28"/>
        </w:rPr>
        <w:t>ритонавир</w:t>
      </w:r>
      <w:proofErr w:type="spellEnd"/>
      <w:r w:rsidRPr="009C3B63">
        <w:rPr>
          <w:szCs w:val="28"/>
        </w:rPr>
        <w:t xml:space="preserve">, </w:t>
      </w:r>
      <w:proofErr w:type="spellStart"/>
      <w:r w:rsidRPr="009C3B63">
        <w:rPr>
          <w:szCs w:val="28"/>
        </w:rPr>
        <w:t>лопинавир</w:t>
      </w:r>
      <w:proofErr w:type="spellEnd"/>
      <w:r w:rsidRPr="009C3B63">
        <w:rPr>
          <w:szCs w:val="28"/>
        </w:rPr>
        <w:t xml:space="preserve">, </w:t>
      </w:r>
      <w:proofErr w:type="spellStart"/>
      <w:r w:rsidRPr="009C3B63">
        <w:rPr>
          <w:szCs w:val="28"/>
        </w:rPr>
        <w:t>атазанавир</w:t>
      </w:r>
      <w:proofErr w:type="spellEnd"/>
      <w:r w:rsidRPr="009C3B63">
        <w:rPr>
          <w:szCs w:val="28"/>
        </w:rPr>
        <w:t xml:space="preserve">, </w:t>
      </w:r>
      <w:proofErr w:type="spellStart"/>
      <w:r w:rsidRPr="009C3B63">
        <w:rPr>
          <w:szCs w:val="28"/>
        </w:rPr>
        <w:t>софосбувир</w:t>
      </w:r>
      <w:proofErr w:type="spellEnd"/>
      <w:r w:rsidRPr="009C3B63">
        <w:rPr>
          <w:szCs w:val="28"/>
        </w:rPr>
        <w:t xml:space="preserve">, </w:t>
      </w:r>
      <w:proofErr w:type="spellStart"/>
      <w:r w:rsidRPr="009C3B63">
        <w:rPr>
          <w:szCs w:val="28"/>
        </w:rPr>
        <w:t>воксилапревир</w:t>
      </w:r>
      <w:proofErr w:type="spellEnd"/>
      <w:r w:rsidRPr="009C3B63">
        <w:rPr>
          <w:szCs w:val="28"/>
        </w:rPr>
        <w:t xml:space="preserve">, </w:t>
      </w:r>
      <w:proofErr w:type="spellStart"/>
      <w:r w:rsidRPr="009C3B63">
        <w:rPr>
          <w:szCs w:val="28"/>
        </w:rPr>
        <w:t>омбитасвир</w:t>
      </w:r>
      <w:proofErr w:type="spellEnd"/>
      <w:r w:rsidRPr="009C3B63">
        <w:rPr>
          <w:szCs w:val="28"/>
        </w:rPr>
        <w:t xml:space="preserve">, </w:t>
      </w:r>
      <w:proofErr w:type="spellStart"/>
      <w:r w:rsidRPr="009C3B63">
        <w:rPr>
          <w:szCs w:val="28"/>
        </w:rPr>
        <w:t>паритапревир</w:t>
      </w:r>
      <w:proofErr w:type="spellEnd"/>
      <w:r w:rsidRPr="009C3B63">
        <w:rPr>
          <w:szCs w:val="28"/>
        </w:rPr>
        <w:t xml:space="preserve">, </w:t>
      </w:r>
      <w:proofErr w:type="spellStart"/>
      <w:r w:rsidRPr="009C3B63">
        <w:rPr>
          <w:szCs w:val="28"/>
        </w:rPr>
        <w:t>дасабувир</w:t>
      </w:r>
      <w:proofErr w:type="spellEnd"/>
      <w:r w:rsidRPr="009C3B63">
        <w:rPr>
          <w:szCs w:val="28"/>
        </w:rPr>
        <w:t xml:space="preserve">, </w:t>
      </w:r>
      <w:proofErr w:type="spellStart"/>
      <w:r w:rsidRPr="009C3B63">
        <w:rPr>
          <w:szCs w:val="28"/>
        </w:rPr>
        <w:t>велпатасвир</w:t>
      </w:r>
      <w:proofErr w:type="spellEnd"/>
      <w:r w:rsidRPr="009C3B63">
        <w:rPr>
          <w:szCs w:val="28"/>
        </w:rPr>
        <w:t xml:space="preserve">, </w:t>
      </w:r>
      <w:proofErr w:type="spellStart"/>
      <w:r w:rsidRPr="009C3B63">
        <w:rPr>
          <w:szCs w:val="28"/>
        </w:rPr>
        <w:t>гразавир</w:t>
      </w:r>
      <w:proofErr w:type="spellEnd"/>
      <w:r w:rsidRPr="009C3B63">
        <w:rPr>
          <w:szCs w:val="28"/>
        </w:rPr>
        <w:t xml:space="preserve">, </w:t>
      </w:r>
      <w:proofErr w:type="spellStart"/>
      <w:r w:rsidRPr="009C3B63">
        <w:rPr>
          <w:szCs w:val="28"/>
        </w:rPr>
        <w:t>элбасвир</w:t>
      </w:r>
      <w:proofErr w:type="spellEnd"/>
      <w:r w:rsidRPr="009C3B63">
        <w:rPr>
          <w:szCs w:val="28"/>
        </w:rPr>
        <w:t xml:space="preserve">, </w:t>
      </w:r>
      <w:proofErr w:type="spellStart"/>
      <w:r w:rsidRPr="009C3B63">
        <w:rPr>
          <w:szCs w:val="28"/>
        </w:rPr>
        <w:t>глекапревир</w:t>
      </w:r>
      <w:proofErr w:type="spellEnd"/>
      <w:r w:rsidRPr="009C3B63">
        <w:rPr>
          <w:szCs w:val="28"/>
        </w:rPr>
        <w:t xml:space="preserve">, </w:t>
      </w:r>
      <w:proofErr w:type="spellStart"/>
      <w:r w:rsidRPr="009C3B63">
        <w:rPr>
          <w:szCs w:val="28"/>
        </w:rPr>
        <w:t>пибрентасвир</w:t>
      </w:r>
      <w:proofErr w:type="spellEnd"/>
      <w:r w:rsidRPr="009C3B63">
        <w:rPr>
          <w:szCs w:val="28"/>
        </w:rPr>
        <w:t>)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 xml:space="preserve">- прием препаратов  </w:t>
      </w:r>
      <w:proofErr w:type="spellStart"/>
      <w:r w:rsidRPr="009C3B63">
        <w:rPr>
          <w:szCs w:val="28"/>
        </w:rPr>
        <w:t>фузидовой</w:t>
      </w:r>
      <w:proofErr w:type="spellEnd"/>
      <w:r w:rsidRPr="009C3B63">
        <w:rPr>
          <w:szCs w:val="28"/>
        </w:rPr>
        <w:t xml:space="preserve"> кислоты в течение последних 7 дней 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 xml:space="preserve">- прием </w:t>
      </w:r>
      <w:proofErr w:type="gramStart"/>
      <w:r w:rsidRPr="009C3B63">
        <w:rPr>
          <w:szCs w:val="28"/>
        </w:rPr>
        <w:t>оральных</w:t>
      </w:r>
      <w:proofErr w:type="gramEnd"/>
      <w:r w:rsidRPr="009C3B63">
        <w:rPr>
          <w:szCs w:val="28"/>
        </w:rPr>
        <w:t xml:space="preserve"> контрацептивов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 xml:space="preserve">- прием </w:t>
      </w:r>
      <w:proofErr w:type="spellStart"/>
      <w:r w:rsidRPr="009C3B63">
        <w:rPr>
          <w:szCs w:val="28"/>
        </w:rPr>
        <w:t>регорафениба</w:t>
      </w:r>
      <w:proofErr w:type="spellEnd"/>
      <w:r w:rsidRPr="009C3B63">
        <w:rPr>
          <w:szCs w:val="28"/>
        </w:rPr>
        <w:t xml:space="preserve"> или  </w:t>
      </w:r>
      <w:proofErr w:type="spellStart"/>
      <w:r w:rsidRPr="009C3B63">
        <w:rPr>
          <w:szCs w:val="28"/>
        </w:rPr>
        <w:t>даролутамида</w:t>
      </w:r>
      <w:proofErr w:type="spellEnd"/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>- текущая заместительная гормональная терапия</w:t>
      </w:r>
    </w:p>
    <w:p w:rsidR="002935C9" w:rsidRPr="009C3B63" w:rsidRDefault="002935C9" w:rsidP="009C3B63">
      <w:pPr>
        <w:jc w:val="both"/>
        <w:rPr>
          <w:b/>
          <w:i/>
          <w:sz w:val="28"/>
          <w:szCs w:val="28"/>
        </w:rPr>
      </w:pPr>
      <w:r w:rsidRPr="009C3B63">
        <w:rPr>
          <w:b/>
          <w:i/>
          <w:sz w:val="28"/>
          <w:szCs w:val="28"/>
        </w:rPr>
        <w:t>Взаимодействия с другими лекарственными препаратами</w:t>
      </w:r>
    </w:p>
    <w:p w:rsidR="00925DFE" w:rsidRPr="009C3B63" w:rsidRDefault="00925DFE" w:rsidP="009C3B63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  <w:u w:val="single"/>
        </w:rPr>
      </w:pPr>
      <w:r w:rsidRPr="009C3B63">
        <w:rPr>
          <w:sz w:val="28"/>
          <w:szCs w:val="28"/>
          <w:u w:val="single"/>
        </w:rPr>
        <w:t xml:space="preserve">Влияние других лекарственных препаратов на воздействие </w:t>
      </w:r>
      <w:proofErr w:type="spellStart"/>
      <w:r w:rsidRPr="009C3B63">
        <w:rPr>
          <w:sz w:val="28"/>
          <w:szCs w:val="28"/>
          <w:u w:val="single"/>
        </w:rPr>
        <w:t>розувастатина</w:t>
      </w:r>
      <w:proofErr w:type="spellEnd"/>
      <w:r w:rsidRPr="009C3B63">
        <w:rPr>
          <w:sz w:val="28"/>
          <w:szCs w:val="28"/>
          <w:u w:val="single"/>
        </w:rPr>
        <w:t xml:space="preserve"> при совместном применении</w:t>
      </w:r>
    </w:p>
    <w:p w:rsidR="00925DFE" w:rsidRPr="009C3B63" w:rsidRDefault="00925DFE" w:rsidP="009C3B63">
      <w:pPr>
        <w:widowControl w:val="0"/>
        <w:autoSpaceDE w:val="0"/>
        <w:autoSpaceDN w:val="0"/>
        <w:adjustRightInd w:val="0"/>
        <w:jc w:val="both"/>
        <w:outlineLvl w:val="3"/>
        <w:rPr>
          <w:i/>
          <w:sz w:val="28"/>
          <w:szCs w:val="28"/>
        </w:rPr>
      </w:pPr>
      <w:r w:rsidRPr="009C3B63">
        <w:rPr>
          <w:i/>
          <w:sz w:val="28"/>
          <w:szCs w:val="28"/>
        </w:rPr>
        <w:t xml:space="preserve">Ингибиторы транспортеров белков </w:t>
      </w:r>
    </w:p>
    <w:p w:rsidR="00925DFE" w:rsidRPr="009C3B63" w:rsidRDefault="00925DFE" w:rsidP="009C3B63">
      <w:pPr>
        <w:jc w:val="both"/>
        <w:rPr>
          <w:sz w:val="28"/>
          <w:szCs w:val="28"/>
        </w:rPr>
      </w:pPr>
      <w:proofErr w:type="spellStart"/>
      <w:r w:rsidRPr="009C3B63">
        <w:rPr>
          <w:sz w:val="28"/>
          <w:szCs w:val="28"/>
        </w:rPr>
        <w:t>Розувастатин</w:t>
      </w:r>
      <w:proofErr w:type="spellEnd"/>
      <w:r w:rsidRPr="009C3B63">
        <w:rPr>
          <w:sz w:val="28"/>
          <w:szCs w:val="28"/>
        </w:rPr>
        <w:t xml:space="preserve"> представляет собой субстрат для определенных белков транспортеров, включая транспортер печеночного захвата OATP1B1 и </w:t>
      </w:r>
      <w:proofErr w:type="spellStart"/>
      <w:r w:rsidRPr="009C3B63">
        <w:rPr>
          <w:sz w:val="28"/>
          <w:szCs w:val="28"/>
        </w:rPr>
        <w:t>эффлюксный</w:t>
      </w:r>
      <w:proofErr w:type="spellEnd"/>
      <w:r w:rsidRPr="009C3B63">
        <w:rPr>
          <w:sz w:val="28"/>
          <w:szCs w:val="28"/>
        </w:rPr>
        <w:t xml:space="preserve"> транспортер BCRP. Одновременный прием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Pr="009C3B63">
        <w:rPr>
          <w:sz w:val="28"/>
          <w:szCs w:val="28"/>
        </w:rPr>
        <w:t xml:space="preserve"> и лекарственных препаратов, являющихся ингибиторами этих белков транспортеров, может привести к повышению концентраций </w:t>
      </w:r>
      <w:proofErr w:type="spellStart"/>
      <w:r w:rsidRPr="009C3B63">
        <w:rPr>
          <w:sz w:val="28"/>
          <w:szCs w:val="28"/>
        </w:rPr>
        <w:t>розувастатина</w:t>
      </w:r>
      <w:proofErr w:type="spellEnd"/>
      <w:r w:rsidRPr="009C3B63">
        <w:rPr>
          <w:sz w:val="28"/>
          <w:szCs w:val="28"/>
        </w:rPr>
        <w:t xml:space="preserve"> в плазме крови, и повышению риска развития миопатии.</w:t>
      </w:r>
    </w:p>
    <w:p w:rsidR="00925DFE" w:rsidRPr="009C3B63" w:rsidRDefault="00925DFE" w:rsidP="009C3B63">
      <w:pPr>
        <w:jc w:val="both"/>
        <w:rPr>
          <w:rFonts w:eastAsia="Arial Unicode MS"/>
          <w:i/>
          <w:sz w:val="28"/>
          <w:szCs w:val="28"/>
          <w:u w:val="single"/>
        </w:rPr>
      </w:pPr>
      <w:proofErr w:type="spellStart"/>
      <w:r w:rsidRPr="009C3B63">
        <w:rPr>
          <w:rFonts w:eastAsia="Arial Unicode MS"/>
          <w:i/>
          <w:sz w:val="28"/>
          <w:szCs w:val="28"/>
          <w:u w:val="single"/>
        </w:rPr>
        <w:t>Циклоспорин</w:t>
      </w:r>
      <w:proofErr w:type="spellEnd"/>
    </w:p>
    <w:p w:rsidR="00925DFE" w:rsidRPr="009C3B63" w:rsidRDefault="00925DFE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Совместное применение приводит к повышению концентрации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 xml:space="preserve"> в плазме крови в 7 раз и не влияет на плазменную концентрацию </w:t>
      </w:r>
      <w:proofErr w:type="spellStart"/>
      <w:r w:rsidRPr="009C3B63">
        <w:rPr>
          <w:rFonts w:eastAsia="Arial Unicode MS"/>
          <w:sz w:val="28"/>
          <w:szCs w:val="28"/>
        </w:rPr>
        <w:t>циклоспорина</w:t>
      </w:r>
      <w:proofErr w:type="spellEnd"/>
      <w:r w:rsidRPr="009C3B63">
        <w:rPr>
          <w:rFonts w:eastAsia="Arial Unicode MS"/>
          <w:sz w:val="28"/>
          <w:szCs w:val="28"/>
        </w:rPr>
        <w:t xml:space="preserve">. Препарат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proofErr w:type="gramStart"/>
      <w:r w:rsidR="00076A28" w:rsidRPr="00082743">
        <w:rPr>
          <w:bCs/>
          <w:caps/>
          <w:sz w:val="24"/>
          <w:szCs w:val="24"/>
        </w:rPr>
        <w:t>]</w:t>
      </w:r>
      <w:r w:rsidRPr="009C3B63">
        <w:rPr>
          <w:rFonts w:eastAsia="Arial Unicode MS"/>
          <w:sz w:val="28"/>
          <w:szCs w:val="28"/>
        </w:rPr>
        <w:t>п</w:t>
      </w:r>
      <w:proofErr w:type="gramEnd"/>
      <w:r w:rsidRPr="009C3B63">
        <w:rPr>
          <w:rFonts w:eastAsia="Arial Unicode MS"/>
          <w:sz w:val="28"/>
          <w:szCs w:val="28"/>
        </w:rPr>
        <w:t xml:space="preserve">ротивопоказан пациентам, принимающим </w:t>
      </w:r>
      <w:proofErr w:type="spellStart"/>
      <w:r w:rsidRPr="009C3B63">
        <w:rPr>
          <w:rFonts w:eastAsia="Arial Unicode MS"/>
          <w:sz w:val="28"/>
          <w:szCs w:val="28"/>
        </w:rPr>
        <w:t>циклоспорин</w:t>
      </w:r>
      <w:proofErr w:type="spellEnd"/>
      <w:r w:rsidRPr="009C3B63">
        <w:rPr>
          <w:rFonts w:eastAsia="Arial Unicode MS"/>
          <w:sz w:val="28"/>
          <w:szCs w:val="28"/>
        </w:rPr>
        <w:t>.</w:t>
      </w:r>
    </w:p>
    <w:p w:rsidR="00925DFE" w:rsidRPr="009C3B63" w:rsidRDefault="00925DFE" w:rsidP="009C3B63">
      <w:pPr>
        <w:jc w:val="both"/>
        <w:rPr>
          <w:rFonts w:eastAsia="Arial Unicode MS"/>
          <w:i/>
          <w:sz w:val="28"/>
          <w:szCs w:val="28"/>
        </w:rPr>
      </w:pPr>
      <w:r w:rsidRPr="009C3B63">
        <w:rPr>
          <w:rFonts w:eastAsia="Arial Unicode MS"/>
          <w:i/>
          <w:sz w:val="28"/>
          <w:szCs w:val="28"/>
        </w:rPr>
        <w:t>Ингибиторы протеаз</w:t>
      </w:r>
    </w:p>
    <w:p w:rsidR="00925DFE" w:rsidRPr="009C3B63" w:rsidRDefault="00925DFE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Несмотря на то, что точный механизм взаимодействия не известен, совместный прием ингибиторов протеаз может приводить к значительному увеличению экспозиции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 xml:space="preserve">. Совместный прием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Pr="009C3B63">
        <w:rPr>
          <w:rFonts w:eastAsia="Arial Unicode MS"/>
          <w:sz w:val="28"/>
          <w:szCs w:val="28"/>
        </w:rPr>
        <w:t xml:space="preserve"> и некоторых комбинаций ингибиторов протеазы может осуществляться только после тщательного подбора дозировки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Pr="009C3B63">
        <w:rPr>
          <w:rFonts w:eastAsia="Arial Unicode MS"/>
          <w:sz w:val="28"/>
          <w:szCs w:val="28"/>
        </w:rPr>
        <w:t xml:space="preserve"> на основании ожидаемого увеличения воздействия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>.</w:t>
      </w:r>
    </w:p>
    <w:p w:rsidR="00925DFE" w:rsidRPr="009C3B63" w:rsidRDefault="00925DFE" w:rsidP="009C3B63">
      <w:pPr>
        <w:jc w:val="both"/>
        <w:rPr>
          <w:rFonts w:eastAsia="Arial Unicode MS"/>
          <w:i/>
          <w:sz w:val="28"/>
          <w:szCs w:val="28"/>
        </w:rPr>
      </w:pPr>
      <w:proofErr w:type="spellStart"/>
      <w:r w:rsidRPr="009C3B63">
        <w:rPr>
          <w:rFonts w:eastAsia="Arial Unicode MS"/>
          <w:i/>
          <w:sz w:val="28"/>
          <w:szCs w:val="28"/>
        </w:rPr>
        <w:lastRenderedPageBreak/>
        <w:t>Гемфиброзил</w:t>
      </w:r>
      <w:proofErr w:type="spellEnd"/>
      <w:r w:rsidRPr="009C3B63">
        <w:rPr>
          <w:rFonts w:eastAsia="Arial Unicode MS"/>
          <w:i/>
          <w:sz w:val="28"/>
          <w:szCs w:val="28"/>
        </w:rPr>
        <w:t xml:space="preserve"> и другие </w:t>
      </w:r>
      <w:proofErr w:type="spellStart"/>
      <w:r w:rsidRPr="009C3B63">
        <w:rPr>
          <w:rFonts w:eastAsia="Arial Unicode MS"/>
          <w:i/>
          <w:sz w:val="28"/>
          <w:szCs w:val="28"/>
        </w:rPr>
        <w:t>гиполипидемические</w:t>
      </w:r>
      <w:proofErr w:type="spellEnd"/>
      <w:r w:rsidRPr="009C3B63">
        <w:rPr>
          <w:rFonts w:eastAsia="Arial Unicode MS"/>
          <w:i/>
          <w:sz w:val="28"/>
          <w:szCs w:val="28"/>
        </w:rPr>
        <w:t xml:space="preserve"> препараты</w:t>
      </w:r>
    </w:p>
    <w:p w:rsidR="00925DFE" w:rsidRPr="009C3B63" w:rsidRDefault="00925DFE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Совместный прием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Pr="009C3B63">
        <w:rPr>
          <w:rFonts w:eastAsia="Arial Unicode MS"/>
          <w:sz w:val="28"/>
          <w:szCs w:val="28"/>
        </w:rPr>
        <w:t xml:space="preserve"> и </w:t>
      </w:r>
      <w:proofErr w:type="spellStart"/>
      <w:r w:rsidRPr="009C3B63">
        <w:rPr>
          <w:rFonts w:eastAsia="Arial Unicode MS"/>
          <w:sz w:val="28"/>
          <w:szCs w:val="28"/>
        </w:rPr>
        <w:t>гемфиброзила</w:t>
      </w:r>
      <w:proofErr w:type="spellEnd"/>
      <w:r w:rsidRPr="009C3B63">
        <w:rPr>
          <w:rFonts w:eastAsia="Arial Unicode MS"/>
          <w:sz w:val="28"/>
          <w:szCs w:val="28"/>
        </w:rPr>
        <w:t xml:space="preserve"> приводил к</w:t>
      </w:r>
      <w:r w:rsidR="0049768F">
        <w:rPr>
          <w:rFonts w:eastAsia="Arial Unicode MS"/>
          <w:sz w:val="28"/>
          <w:szCs w:val="28"/>
        </w:rPr>
        <w:t xml:space="preserve"> </w:t>
      </w:r>
      <w:r w:rsidRPr="009C3B63">
        <w:rPr>
          <w:rFonts w:eastAsia="Arial Unicode MS"/>
          <w:sz w:val="28"/>
          <w:szCs w:val="28"/>
        </w:rPr>
        <w:t xml:space="preserve">двукратному увеличению </w:t>
      </w:r>
      <w:proofErr w:type="spellStart"/>
      <w:r w:rsidRPr="009C3B63">
        <w:rPr>
          <w:rFonts w:eastAsia="Arial Unicode MS"/>
          <w:sz w:val="28"/>
          <w:szCs w:val="28"/>
          <w:lang w:val="en-US"/>
        </w:rPr>
        <w:t>C</w:t>
      </w:r>
      <w:r w:rsidRPr="009C3B63">
        <w:rPr>
          <w:rFonts w:eastAsia="Arial Unicode MS"/>
          <w:sz w:val="28"/>
          <w:szCs w:val="28"/>
          <w:vertAlign w:val="subscript"/>
          <w:lang w:val="en-US"/>
        </w:rPr>
        <w:t>max</w:t>
      </w:r>
      <w:proofErr w:type="spellEnd"/>
      <w:r w:rsidRPr="009C3B63">
        <w:rPr>
          <w:rFonts w:eastAsia="Arial Unicode MS"/>
          <w:sz w:val="28"/>
          <w:szCs w:val="28"/>
        </w:rPr>
        <w:t xml:space="preserve"> и </w:t>
      </w:r>
      <w:proofErr w:type="gramStart"/>
      <w:r w:rsidRPr="009C3B63">
        <w:rPr>
          <w:rFonts w:eastAsia="Arial Unicode MS"/>
          <w:sz w:val="28"/>
          <w:szCs w:val="28"/>
          <w:lang w:val="en-US"/>
        </w:rPr>
        <w:t>AUC</w:t>
      </w:r>
      <w:proofErr w:type="spellStart"/>
      <w:proofErr w:type="gramEnd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>.</w:t>
      </w:r>
      <w:r w:rsidR="0049768F">
        <w:rPr>
          <w:rFonts w:eastAsia="Arial Unicode MS"/>
          <w:sz w:val="28"/>
          <w:szCs w:val="28"/>
        </w:rPr>
        <w:t xml:space="preserve"> </w:t>
      </w:r>
      <w:r w:rsidRPr="009C3B63">
        <w:rPr>
          <w:rFonts w:eastAsia="Arial Unicode MS"/>
          <w:sz w:val="28"/>
          <w:szCs w:val="28"/>
        </w:rPr>
        <w:t xml:space="preserve">На основании </w:t>
      </w:r>
      <w:r w:rsidR="00E06ED4" w:rsidRPr="009C3B63">
        <w:rPr>
          <w:rFonts w:eastAsia="Arial Unicode MS"/>
          <w:sz w:val="28"/>
          <w:szCs w:val="28"/>
        </w:rPr>
        <w:t xml:space="preserve">полученных </w:t>
      </w:r>
      <w:r w:rsidRPr="009C3B63">
        <w:rPr>
          <w:rFonts w:eastAsia="Arial Unicode MS"/>
          <w:sz w:val="28"/>
          <w:szCs w:val="28"/>
        </w:rPr>
        <w:t xml:space="preserve">данных, никаких клинически релевантных взаимодействий с </w:t>
      </w:r>
      <w:proofErr w:type="spellStart"/>
      <w:r w:rsidRPr="009C3B63">
        <w:rPr>
          <w:rFonts w:eastAsia="Arial Unicode MS"/>
          <w:sz w:val="28"/>
          <w:szCs w:val="28"/>
        </w:rPr>
        <w:t>фенофибратом</w:t>
      </w:r>
      <w:proofErr w:type="spellEnd"/>
      <w:r w:rsidRPr="009C3B63">
        <w:rPr>
          <w:rFonts w:eastAsia="Arial Unicode MS"/>
          <w:sz w:val="28"/>
          <w:szCs w:val="28"/>
        </w:rPr>
        <w:t xml:space="preserve"> не ожидается, однако может иметь место фармакодинамическое взаимодействие.</w:t>
      </w:r>
    </w:p>
    <w:p w:rsidR="00925DFE" w:rsidRPr="009C3B63" w:rsidRDefault="00925DFE" w:rsidP="009C3B63">
      <w:pPr>
        <w:jc w:val="both"/>
        <w:rPr>
          <w:rFonts w:eastAsia="Arial Unicode MS"/>
          <w:sz w:val="28"/>
          <w:szCs w:val="28"/>
        </w:rPr>
      </w:pPr>
      <w:proofErr w:type="spellStart"/>
      <w:r w:rsidRPr="009C3B63">
        <w:rPr>
          <w:rFonts w:eastAsia="Arial Unicode MS"/>
          <w:sz w:val="28"/>
          <w:szCs w:val="28"/>
        </w:rPr>
        <w:t>Гемфиброзил</w:t>
      </w:r>
      <w:proofErr w:type="spellEnd"/>
      <w:r w:rsidRPr="009C3B63">
        <w:rPr>
          <w:rFonts w:eastAsia="Arial Unicode MS"/>
          <w:sz w:val="28"/>
          <w:szCs w:val="28"/>
        </w:rPr>
        <w:t xml:space="preserve">, </w:t>
      </w:r>
      <w:proofErr w:type="spellStart"/>
      <w:r w:rsidRPr="009C3B63">
        <w:rPr>
          <w:rFonts w:eastAsia="Arial Unicode MS"/>
          <w:sz w:val="28"/>
          <w:szCs w:val="28"/>
        </w:rPr>
        <w:t>фенофибрат</w:t>
      </w:r>
      <w:proofErr w:type="spellEnd"/>
      <w:r w:rsidRPr="009C3B63">
        <w:rPr>
          <w:rFonts w:eastAsia="Arial Unicode MS"/>
          <w:sz w:val="28"/>
          <w:szCs w:val="28"/>
        </w:rPr>
        <w:t xml:space="preserve">, другие </w:t>
      </w:r>
      <w:proofErr w:type="spellStart"/>
      <w:r w:rsidRPr="009C3B63">
        <w:rPr>
          <w:rFonts w:eastAsia="Arial Unicode MS"/>
          <w:sz w:val="28"/>
          <w:szCs w:val="28"/>
        </w:rPr>
        <w:t>фибраты</w:t>
      </w:r>
      <w:proofErr w:type="spellEnd"/>
      <w:r w:rsidRPr="009C3B63">
        <w:rPr>
          <w:rFonts w:eastAsia="Arial Unicode MS"/>
          <w:sz w:val="28"/>
          <w:szCs w:val="28"/>
        </w:rPr>
        <w:t xml:space="preserve"> и </w:t>
      </w:r>
      <w:proofErr w:type="spellStart"/>
      <w:r w:rsidRPr="009C3B63">
        <w:rPr>
          <w:rFonts w:eastAsia="Arial Unicode MS"/>
          <w:sz w:val="28"/>
          <w:szCs w:val="28"/>
        </w:rPr>
        <w:t>гиполипидемические</w:t>
      </w:r>
      <w:proofErr w:type="spellEnd"/>
      <w:r w:rsidRPr="009C3B63">
        <w:rPr>
          <w:rFonts w:eastAsia="Arial Unicode MS"/>
          <w:sz w:val="28"/>
          <w:szCs w:val="28"/>
        </w:rPr>
        <w:t xml:space="preserve"> дозы (&gt; или равные 1 г/день) ниацина (никотиновой кислоты) повышают риск развития миопатии при совместном приеме с ингибиторами ГМГ-</w:t>
      </w:r>
      <w:proofErr w:type="spellStart"/>
      <w:r w:rsidRPr="009C3B63">
        <w:rPr>
          <w:rFonts w:eastAsia="Arial Unicode MS"/>
          <w:sz w:val="28"/>
          <w:szCs w:val="28"/>
        </w:rPr>
        <w:t>КоА</w:t>
      </w:r>
      <w:proofErr w:type="spellEnd"/>
      <w:r w:rsidRPr="009C3B63">
        <w:rPr>
          <w:rFonts w:eastAsia="Arial Unicode MS"/>
          <w:sz w:val="28"/>
          <w:szCs w:val="28"/>
        </w:rPr>
        <w:t>-</w:t>
      </w:r>
      <w:proofErr w:type="spellStart"/>
      <w:r w:rsidRPr="009C3B63">
        <w:rPr>
          <w:rFonts w:eastAsia="Arial Unicode MS"/>
          <w:sz w:val="28"/>
          <w:szCs w:val="28"/>
        </w:rPr>
        <w:t>редуктазы</w:t>
      </w:r>
      <w:proofErr w:type="spellEnd"/>
      <w:r w:rsidRPr="009C3B63">
        <w:rPr>
          <w:rFonts w:eastAsia="Arial Unicode MS"/>
          <w:sz w:val="28"/>
          <w:szCs w:val="28"/>
        </w:rPr>
        <w:t xml:space="preserve">, вероятно, потому что они могут вызывать миопатию, если принимать их отдельно. Доза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 xml:space="preserve"> 40 мг противопоказана при сопутствующем применении с </w:t>
      </w:r>
      <w:proofErr w:type="spellStart"/>
      <w:r w:rsidRPr="009C3B63">
        <w:rPr>
          <w:rFonts w:eastAsia="Arial Unicode MS"/>
          <w:sz w:val="28"/>
          <w:szCs w:val="28"/>
        </w:rPr>
        <w:t>фибратами</w:t>
      </w:r>
      <w:proofErr w:type="spellEnd"/>
      <w:r w:rsidRPr="009C3B63">
        <w:rPr>
          <w:rFonts w:eastAsia="Arial Unicode MS"/>
          <w:sz w:val="28"/>
          <w:szCs w:val="28"/>
        </w:rPr>
        <w:t xml:space="preserve">. Начальная дозировка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 xml:space="preserve"> для пациентов, которым все</w:t>
      </w:r>
      <w:r w:rsidR="00727CFD" w:rsidRPr="009C3B63">
        <w:rPr>
          <w:rFonts w:eastAsia="Arial Unicode MS"/>
          <w:sz w:val="28"/>
          <w:szCs w:val="28"/>
        </w:rPr>
        <w:t>-</w:t>
      </w:r>
      <w:r w:rsidRPr="009C3B63">
        <w:rPr>
          <w:rFonts w:eastAsia="Arial Unicode MS"/>
          <w:sz w:val="28"/>
          <w:szCs w:val="28"/>
        </w:rPr>
        <w:t xml:space="preserve">таки </w:t>
      </w:r>
      <w:proofErr w:type="gramStart"/>
      <w:r w:rsidRPr="009C3B63">
        <w:rPr>
          <w:rFonts w:eastAsia="Arial Unicode MS"/>
          <w:sz w:val="28"/>
          <w:szCs w:val="28"/>
        </w:rPr>
        <w:t>необходим такой совместный прием должна</w:t>
      </w:r>
      <w:proofErr w:type="gramEnd"/>
      <w:r w:rsidRPr="009C3B63">
        <w:rPr>
          <w:rFonts w:eastAsia="Arial Unicode MS"/>
          <w:sz w:val="28"/>
          <w:szCs w:val="28"/>
        </w:rPr>
        <w:t xml:space="preserve"> составлять 5 мг.</w:t>
      </w:r>
    </w:p>
    <w:p w:rsidR="00925DFE" w:rsidRPr="009C3B63" w:rsidRDefault="00925DFE" w:rsidP="009C3B63">
      <w:pPr>
        <w:jc w:val="both"/>
        <w:rPr>
          <w:rFonts w:eastAsia="Arial Unicode MS"/>
          <w:i/>
          <w:sz w:val="28"/>
          <w:szCs w:val="28"/>
        </w:rPr>
      </w:pPr>
      <w:proofErr w:type="spellStart"/>
      <w:r w:rsidRPr="009C3B63">
        <w:rPr>
          <w:rFonts w:eastAsia="Arial Unicode MS"/>
          <w:i/>
          <w:sz w:val="28"/>
          <w:szCs w:val="28"/>
        </w:rPr>
        <w:t>Эзетимиб</w:t>
      </w:r>
      <w:proofErr w:type="spellEnd"/>
    </w:p>
    <w:p w:rsidR="00925DFE" w:rsidRPr="009C3B63" w:rsidRDefault="00925DFE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Совместный прием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="0049768F">
        <w:rPr>
          <w:bCs/>
          <w:caps/>
          <w:sz w:val="24"/>
          <w:szCs w:val="24"/>
        </w:rPr>
        <w:t xml:space="preserve"> </w:t>
      </w:r>
      <w:r w:rsidRPr="009C3B63">
        <w:rPr>
          <w:rFonts w:eastAsia="Arial Unicode MS"/>
          <w:sz w:val="28"/>
          <w:szCs w:val="28"/>
        </w:rPr>
        <w:t xml:space="preserve">в дозе 10 мг  и </w:t>
      </w:r>
      <w:proofErr w:type="spellStart"/>
      <w:r w:rsidRPr="009C3B63">
        <w:rPr>
          <w:rFonts w:eastAsia="Arial Unicode MS"/>
          <w:sz w:val="28"/>
          <w:szCs w:val="28"/>
        </w:rPr>
        <w:t>эзетимиба</w:t>
      </w:r>
      <w:proofErr w:type="spellEnd"/>
      <w:r w:rsidRPr="009C3B63">
        <w:rPr>
          <w:rFonts w:eastAsia="Arial Unicode MS"/>
          <w:sz w:val="28"/>
          <w:szCs w:val="28"/>
        </w:rPr>
        <w:t xml:space="preserve"> 10 мг приводил к увеличению AUC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 xml:space="preserve"> в 1,2 раза у пациентов с </w:t>
      </w:r>
      <w:proofErr w:type="spellStart"/>
      <w:r w:rsidRPr="009C3B63">
        <w:rPr>
          <w:rFonts w:eastAsia="Arial Unicode MS"/>
          <w:sz w:val="28"/>
          <w:szCs w:val="28"/>
        </w:rPr>
        <w:t>гиперхолестеринемией</w:t>
      </w:r>
      <w:proofErr w:type="spellEnd"/>
      <w:r w:rsidRPr="009C3B63">
        <w:rPr>
          <w:rFonts w:eastAsia="Arial Unicode MS"/>
          <w:sz w:val="28"/>
          <w:szCs w:val="28"/>
        </w:rPr>
        <w:t xml:space="preserve">. Нельзя исключать фармакодинамическое взаимодействие между препаратом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Pr="009C3B63">
        <w:rPr>
          <w:rFonts w:eastAsia="Arial Unicode MS"/>
          <w:sz w:val="28"/>
          <w:szCs w:val="28"/>
        </w:rPr>
        <w:t xml:space="preserve"> и </w:t>
      </w:r>
      <w:proofErr w:type="spellStart"/>
      <w:r w:rsidRPr="009C3B63">
        <w:rPr>
          <w:rFonts w:eastAsia="Arial Unicode MS"/>
          <w:sz w:val="28"/>
          <w:szCs w:val="28"/>
        </w:rPr>
        <w:t>эзетинимибом</w:t>
      </w:r>
      <w:proofErr w:type="spellEnd"/>
      <w:r w:rsidRPr="009C3B63">
        <w:rPr>
          <w:rFonts w:eastAsia="Arial Unicode MS"/>
          <w:sz w:val="28"/>
          <w:szCs w:val="28"/>
        </w:rPr>
        <w:t xml:space="preserve"> с точки зрения возникновения нежелательных эффектов.</w:t>
      </w:r>
    </w:p>
    <w:p w:rsidR="00925DFE" w:rsidRPr="009C3B63" w:rsidRDefault="00925DFE" w:rsidP="009C3B63">
      <w:pPr>
        <w:jc w:val="both"/>
        <w:rPr>
          <w:rFonts w:eastAsia="Arial Unicode MS"/>
          <w:i/>
          <w:sz w:val="28"/>
          <w:szCs w:val="28"/>
        </w:rPr>
      </w:pPr>
      <w:r w:rsidRPr="009C3B63">
        <w:rPr>
          <w:rFonts w:eastAsia="Arial Unicode MS"/>
          <w:i/>
          <w:sz w:val="28"/>
          <w:szCs w:val="28"/>
        </w:rPr>
        <w:t>Антациды</w:t>
      </w:r>
    </w:p>
    <w:p w:rsidR="00925DFE" w:rsidRPr="009C3B63" w:rsidRDefault="00925DFE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Одновременное применение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Pr="009C3B63">
        <w:rPr>
          <w:rFonts w:eastAsia="Arial Unicode MS"/>
          <w:sz w:val="28"/>
          <w:szCs w:val="28"/>
        </w:rPr>
        <w:t xml:space="preserve"> и суспензий антацидов, содержащих алюминий и магния гидроксид, приводит к снижению плазменной концентрации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 xml:space="preserve"> примерно на 50%. Данный эффект выражен слабее, если антациды применяются через 2 часа после приема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>.</w:t>
      </w:r>
    </w:p>
    <w:p w:rsidR="00925DFE" w:rsidRPr="009C3B63" w:rsidRDefault="00925DFE" w:rsidP="009C3B63">
      <w:pPr>
        <w:jc w:val="both"/>
        <w:rPr>
          <w:rFonts w:eastAsia="Arial Unicode MS"/>
          <w:i/>
          <w:sz w:val="28"/>
          <w:szCs w:val="28"/>
        </w:rPr>
      </w:pPr>
      <w:r w:rsidRPr="009C3B63">
        <w:rPr>
          <w:rFonts w:eastAsia="Arial Unicode MS"/>
          <w:i/>
          <w:sz w:val="28"/>
          <w:szCs w:val="28"/>
        </w:rPr>
        <w:t>Эритромицин</w:t>
      </w:r>
    </w:p>
    <w:p w:rsidR="00925DFE" w:rsidRPr="009C3B63" w:rsidRDefault="00925DFE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Одновременное применение препарата </w:t>
      </w:r>
      <w:bookmarkStart w:id="3" w:name="_Hlk34834480"/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proofErr w:type="gramStart"/>
      <w:r w:rsidR="00076A28" w:rsidRPr="00082743">
        <w:rPr>
          <w:bCs/>
          <w:caps/>
          <w:sz w:val="24"/>
          <w:szCs w:val="24"/>
        </w:rPr>
        <w:t>]</w:t>
      </w:r>
      <w:bookmarkEnd w:id="3"/>
      <w:r w:rsidRPr="009C3B63">
        <w:rPr>
          <w:rFonts w:eastAsia="Arial Unicode MS"/>
          <w:sz w:val="28"/>
          <w:szCs w:val="28"/>
        </w:rPr>
        <w:t>и</w:t>
      </w:r>
      <w:proofErr w:type="gramEnd"/>
      <w:r w:rsidRPr="009C3B63">
        <w:rPr>
          <w:rFonts w:eastAsia="Arial Unicode MS"/>
          <w:sz w:val="28"/>
          <w:szCs w:val="28"/>
        </w:rPr>
        <w:t xml:space="preserve"> эритромицина приводит к уменьшению AUC (0 – t)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 xml:space="preserve"> на 20 % и </w:t>
      </w:r>
      <w:proofErr w:type="spellStart"/>
      <w:r w:rsidRPr="009C3B63">
        <w:rPr>
          <w:rFonts w:eastAsia="Arial Unicode MS"/>
          <w:sz w:val="28"/>
          <w:szCs w:val="28"/>
        </w:rPr>
        <w:t>С</w:t>
      </w:r>
      <w:r w:rsidRPr="009C3B63">
        <w:rPr>
          <w:rFonts w:eastAsia="Arial Unicode MS"/>
          <w:sz w:val="28"/>
          <w:szCs w:val="28"/>
          <w:vertAlign w:val="subscript"/>
        </w:rPr>
        <w:t>max</w:t>
      </w:r>
      <w:proofErr w:type="spellEnd"/>
      <w:r w:rsidR="00A63A30">
        <w:rPr>
          <w:rFonts w:eastAsia="Arial Unicode MS"/>
          <w:sz w:val="28"/>
          <w:szCs w:val="28"/>
          <w:vertAlign w:val="subscript"/>
        </w:rPr>
        <w:t xml:space="preserve">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 xml:space="preserve"> на 30%. Подобное взаимодействие может возникать в результате усиления моторики кишечника, вызываемого приёмом эритромицина.</w:t>
      </w:r>
    </w:p>
    <w:p w:rsidR="00925DFE" w:rsidRPr="009C3B63" w:rsidRDefault="00925DFE" w:rsidP="009C3B63">
      <w:pPr>
        <w:jc w:val="both"/>
        <w:rPr>
          <w:rFonts w:eastAsia="Arial Unicode MS"/>
          <w:i/>
          <w:sz w:val="28"/>
          <w:szCs w:val="28"/>
        </w:rPr>
      </w:pPr>
      <w:r w:rsidRPr="009C3B63">
        <w:rPr>
          <w:rFonts w:eastAsia="Arial Unicode MS"/>
          <w:i/>
          <w:sz w:val="28"/>
          <w:szCs w:val="28"/>
        </w:rPr>
        <w:t xml:space="preserve">Ферменты </w:t>
      </w:r>
      <w:proofErr w:type="spellStart"/>
      <w:r w:rsidRPr="009C3B63">
        <w:rPr>
          <w:rFonts w:eastAsia="Arial Unicode MS"/>
          <w:i/>
          <w:sz w:val="28"/>
          <w:szCs w:val="28"/>
        </w:rPr>
        <w:t>цитохрома</w:t>
      </w:r>
      <w:proofErr w:type="spellEnd"/>
      <w:r w:rsidRPr="009C3B63">
        <w:rPr>
          <w:rFonts w:eastAsia="Arial Unicode MS"/>
          <w:i/>
          <w:sz w:val="28"/>
          <w:szCs w:val="28"/>
        </w:rPr>
        <w:t xml:space="preserve"> Р450</w:t>
      </w:r>
    </w:p>
    <w:p w:rsidR="00925DFE" w:rsidRPr="009C3B63" w:rsidRDefault="00925DFE" w:rsidP="009C3B63">
      <w:pPr>
        <w:jc w:val="both"/>
        <w:rPr>
          <w:rFonts w:eastAsia="Arial Unicode MS"/>
          <w:sz w:val="28"/>
          <w:szCs w:val="28"/>
        </w:rPr>
      </w:pPr>
      <w:proofErr w:type="spellStart"/>
      <w:r w:rsidRPr="009C3B63">
        <w:rPr>
          <w:rFonts w:eastAsia="Arial Unicode MS"/>
          <w:sz w:val="28"/>
          <w:szCs w:val="28"/>
        </w:rPr>
        <w:t>Розувастатин</w:t>
      </w:r>
      <w:proofErr w:type="spellEnd"/>
      <w:r w:rsidRPr="009C3B63">
        <w:rPr>
          <w:rFonts w:eastAsia="Arial Unicode MS"/>
          <w:sz w:val="28"/>
          <w:szCs w:val="28"/>
        </w:rPr>
        <w:t xml:space="preserve"> не является ни ингибитором, ни индуктором ферментов </w:t>
      </w:r>
      <w:proofErr w:type="spellStart"/>
      <w:r w:rsidRPr="009C3B63">
        <w:rPr>
          <w:rFonts w:eastAsia="Arial Unicode MS"/>
          <w:sz w:val="28"/>
          <w:szCs w:val="28"/>
        </w:rPr>
        <w:t>цитохрома</w:t>
      </w:r>
      <w:proofErr w:type="spellEnd"/>
      <w:r w:rsidRPr="009C3B63">
        <w:rPr>
          <w:rFonts w:eastAsia="Arial Unicode MS"/>
          <w:sz w:val="28"/>
          <w:szCs w:val="28"/>
        </w:rPr>
        <w:t xml:space="preserve"> Р450. Кроме того, </w:t>
      </w:r>
      <w:proofErr w:type="spellStart"/>
      <w:r w:rsidRPr="009C3B63">
        <w:rPr>
          <w:rFonts w:eastAsia="Arial Unicode MS"/>
          <w:sz w:val="28"/>
          <w:szCs w:val="28"/>
        </w:rPr>
        <w:t>розувастатин</w:t>
      </w:r>
      <w:proofErr w:type="spellEnd"/>
      <w:r w:rsidRPr="009C3B63">
        <w:rPr>
          <w:rFonts w:eastAsia="Arial Unicode MS"/>
          <w:sz w:val="28"/>
          <w:szCs w:val="28"/>
        </w:rPr>
        <w:t xml:space="preserve"> является слабым субстратом для этих ферментов. Таким образом, не ожидается взаимодействия, связанного с метаболизмом </w:t>
      </w:r>
      <w:proofErr w:type="spellStart"/>
      <w:r w:rsidRPr="009C3B63">
        <w:rPr>
          <w:rFonts w:eastAsia="Arial Unicode MS"/>
          <w:sz w:val="28"/>
          <w:szCs w:val="28"/>
        </w:rPr>
        <w:t>цитохрома</w:t>
      </w:r>
      <w:proofErr w:type="spellEnd"/>
      <w:r w:rsidRPr="009C3B63">
        <w:rPr>
          <w:rFonts w:eastAsia="Arial Unicode MS"/>
          <w:sz w:val="28"/>
          <w:szCs w:val="28"/>
        </w:rPr>
        <w:t xml:space="preserve"> Р450. Не было отмечено клинически значимого взаимодействия между </w:t>
      </w:r>
      <w:proofErr w:type="spellStart"/>
      <w:r w:rsidRPr="009C3B63">
        <w:rPr>
          <w:rFonts w:eastAsia="Arial Unicode MS"/>
          <w:sz w:val="28"/>
          <w:szCs w:val="28"/>
        </w:rPr>
        <w:t>розувастатином</w:t>
      </w:r>
      <w:proofErr w:type="spellEnd"/>
      <w:r w:rsidRPr="009C3B63">
        <w:rPr>
          <w:rFonts w:eastAsia="Arial Unicode MS"/>
          <w:sz w:val="28"/>
          <w:szCs w:val="28"/>
        </w:rPr>
        <w:t xml:space="preserve">, </w:t>
      </w:r>
      <w:proofErr w:type="spellStart"/>
      <w:r w:rsidRPr="009C3B63">
        <w:rPr>
          <w:rFonts w:eastAsia="Arial Unicode MS"/>
          <w:sz w:val="28"/>
          <w:szCs w:val="28"/>
        </w:rPr>
        <w:t>флуконазолом</w:t>
      </w:r>
      <w:proofErr w:type="spellEnd"/>
      <w:r w:rsidRPr="009C3B63">
        <w:rPr>
          <w:rFonts w:eastAsia="Arial Unicode MS"/>
          <w:sz w:val="28"/>
          <w:szCs w:val="28"/>
        </w:rPr>
        <w:t xml:space="preserve"> (ингибитором CYP2C9 и CYP3А4) и </w:t>
      </w:r>
      <w:proofErr w:type="spellStart"/>
      <w:r w:rsidRPr="009C3B63">
        <w:rPr>
          <w:rFonts w:eastAsia="Arial Unicode MS"/>
          <w:sz w:val="28"/>
          <w:szCs w:val="28"/>
        </w:rPr>
        <w:t>кетоконазолом</w:t>
      </w:r>
      <w:proofErr w:type="spellEnd"/>
      <w:r w:rsidRPr="009C3B63">
        <w:rPr>
          <w:rFonts w:eastAsia="Arial Unicode MS"/>
          <w:sz w:val="28"/>
          <w:szCs w:val="28"/>
        </w:rPr>
        <w:t xml:space="preserve"> (ингибитором CYP2А6 CYP3А4). </w:t>
      </w:r>
    </w:p>
    <w:p w:rsidR="00925DFE" w:rsidRPr="009C3B63" w:rsidRDefault="00925DFE" w:rsidP="009C3B63">
      <w:pPr>
        <w:jc w:val="both"/>
        <w:rPr>
          <w:rFonts w:eastAsia="Arial Unicode MS"/>
          <w:i/>
          <w:sz w:val="28"/>
          <w:szCs w:val="28"/>
        </w:rPr>
      </w:pPr>
      <w:r w:rsidRPr="009C3B63">
        <w:rPr>
          <w:rFonts w:eastAsia="Arial Unicode MS"/>
          <w:i/>
          <w:sz w:val="28"/>
          <w:szCs w:val="28"/>
        </w:rPr>
        <w:t xml:space="preserve">Взаимодействия, требующие корректировки дозы </w:t>
      </w:r>
      <w:proofErr w:type="spellStart"/>
      <w:r w:rsidRPr="009C3B63">
        <w:rPr>
          <w:rFonts w:eastAsia="Arial Unicode MS"/>
          <w:i/>
          <w:sz w:val="28"/>
          <w:szCs w:val="28"/>
        </w:rPr>
        <w:t>розувастатина</w:t>
      </w:r>
      <w:proofErr w:type="spellEnd"/>
    </w:p>
    <w:p w:rsidR="00925DFE" w:rsidRPr="009C3B63" w:rsidRDefault="00925DFE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Если есть необходимость в совместном приеме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="00A63A30">
        <w:rPr>
          <w:bCs/>
          <w:caps/>
          <w:sz w:val="24"/>
          <w:szCs w:val="24"/>
        </w:rPr>
        <w:t xml:space="preserve"> </w:t>
      </w:r>
      <w:r w:rsidRPr="009C3B63">
        <w:rPr>
          <w:rFonts w:eastAsia="Arial Unicode MS"/>
          <w:sz w:val="28"/>
          <w:szCs w:val="28"/>
        </w:rPr>
        <w:t>и других лекарственных препаратов, которые усиливают</w:t>
      </w:r>
      <w:r w:rsidR="00A63A30">
        <w:rPr>
          <w:rFonts w:eastAsia="Arial Unicode MS"/>
          <w:sz w:val="28"/>
          <w:szCs w:val="28"/>
        </w:rPr>
        <w:t xml:space="preserve"> </w:t>
      </w:r>
      <w:r w:rsidR="004F7F98" w:rsidRPr="009C3B63">
        <w:rPr>
          <w:rFonts w:eastAsia="Arial Unicode MS"/>
          <w:sz w:val="28"/>
          <w:szCs w:val="28"/>
        </w:rPr>
        <w:t>его действие</w:t>
      </w:r>
      <w:r w:rsidRPr="009C3B63">
        <w:rPr>
          <w:rFonts w:eastAsia="Arial Unicode MS"/>
          <w:sz w:val="28"/>
          <w:szCs w:val="28"/>
        </w:rPr>
        <w:t xml:space="preserve">, дозировку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="00A63A30">
        <w:rPr>
          <w:bCs/>
          <w:caps/>
          <w:sz w:val="24"/>
          <w:szCs w:val="24"/>
        </w:rPr>
        <w:t xml:space="preserve"> </w:t>
      </w:r>
      <w:r w:rsidRPr="009C3B63">
        <w:rPr>
          <w:rFonts w:eastAsia="Arial Unicode MS"/>
          <w:sz w:val="28"/>
          <w:szCs w:val="28"/>
        </w:rPr>
        <w:t xml:space="preserve">необходимо </w:t>
      </w:r>
      <w:r w:rsidRPr="009C3B63">
        <w:rPr>
          <w:rFonts w:eastAsia="Arial Unicode MS"/>
          <w:sz w:val="28"/>
          <w:szCs w:val="28"/>
        </w:rPr>
        <w:lastRenderedPageBreak/>
        <w:t xml:space="preserve">скорректировать. Если ожидается примерно двукратное или выше усиление воздействия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Pr="009C3B63">
        <w:rPr>
          <w:rFonts w:eastAsia="Arial Unicode MS"/>
          <w:sz w:val="28"/>
          <w:szCs w:val="28"/>
        </w:rPr>
        <w:t xml:space="preserve">, его начальная доза должна составлять 5 мг один раз в день. </w:t>
      </w:r>
      <w:proofErr w:type="gramStart"/>
      <w:r w:rsidRPr="009C3B63">
        <w:rPr>
          <w:rFonts w:eastAsia="Arial Unicode MS"/>
          <w:sz w:val="28"/>
          <w:szCs w:val="28"/>
        </w:rPr>
        <w:t xml:space="preserve">Максимальная ежедневная доза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="00A63A30">
        <w:rPr>
          <w:bCs/>
          <w:caps/>
          <w:sz w:val="24"/>
          <w:szCs w:val="24"/>
        </w:rPr>
        <w:t xml:space="preserve"> </w:t>
      </w:r>
      <w:r w:rsidRPr="009C3B63">
        <w:rPr>
          <w:rFonts w:eastAsia="Arial Unicode MS"/>
          <w:sz w:val="28"/>
          <w:szCs w:val="28"/>
        </w:rPr>
        <w:t xml:space="preserve">должна быть скорректирована таким образом, чтобы ожидаемое воздействие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 xml:space="preserve"> не превышало воздействие дозы 40 мг, принимаемого без взаимодействующих лекарственных препаратов, например доза 20 мг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Pr="009C3B63">
        <w:rPr>
          <w:rFonts w:eastAsia="Arial Unicode MS"/>
          <w:sz w:val="28"/>
          <w:szCs w:val="28"/>
        </w:rPr>
        <w:t xml:space="preserve"> с </w:t>
      </w:r>
      <w:proofErr w:type="spellStart"/>
      <w:r w:rsidR="00827E9F" w:rsidRPr="009C3B63">
        <w:rPr>
          <w:rFonts w:eastAsia="Arial Unicode MS"/>
          <w:sz w:val="28"/>
          <w:szCs w:val="28"/>
        </w:rPr>
        <w:t>гемфиброзилом</w:t>
      </w:r>
      <w:proofErr w:type="spellEnd"/>
      <w:r w:rsidR="00A63A30">
        <w:rPr>
          <w:rFonts w:eastAsia="Arial Unicode MS"/>
          <w:sz w:val="28"/>
          <w:szCs w:val="28"/>
        </w:rPr>
        <w:t xml:space="preserve"> </w:t>
      </w:r>
      <w:r w:rsidRPr="009C3B63">
        <w:rPr>
          <w:rFonts w:eastAsia="Arial Unicode MS"/>
          <w:sz w:val="28"/>
          <w:szCs w:val="28"/>
        </w:rPr>
        <w:t>(увеличение в 1</w:t>
      </w:r>
      <w:r w:rsidR="009E66A7" w:rsidRPr="009C3B63">
        <w:rPr>
          <w:rFonts w:eastAsia="Arial Unicode MS"/>
          <w:sz w:val="28"/>
          <w:szCs w:val="28"/>
        </w:rPr>
        <w:t>.</w:t>
      </w:r>
      <w:r w:rsidRPr="009C3B63">
        <w:rPr>
          <w:rFonts w:eastAsia="Arial Unicode MS"/>
          <w:sz w:val="28"/>
          <w:szCs w:val="28"/>
        </w:rPr>
        <w:t xml:space="preserve">9 раза) и доза 10 мг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Pr="009C3B63">
        <w:rPr>
          <w:rFonts w:eastAsia="Arial Unicode MS"/>
          <w:sz w:val="28"/>
          <w:szCs w:val="28"/>
        </w:rPr>
        <w:t xml:space="preserve"> в сочетании с </w:t>
      </w:r>
      <w:proofErr w:type="spellStart"/>
      <w:r w:rsidRPr="009C3B63">
        <w:rPr>
          <w:rFonts w:eastAsia="Arial Unicode MS"/>
          <w:sz w:val="28"/>
          <w:szCs w:val="28"/>
        </w:rPr>
        <w:t>атазанавиром</w:t>
      </w:r>
      <w:proofErr w:type="spellEnd"/>
      <w:r w:rsidRPr="009C3B63">
        <w:rPr>
          <w:rFonts w:eastAsia="Arial Unicode MS"/>
          <w:sz w:val="28"/>
          <w:szCs w:val="28"/>
        </w:rPr>
        <w:t>/</w:t>
      </w:r>
      <w:proofErr w:type="spellStart"/>
      <w:r w:rsidRPr="009C3B63">
        <w:rPr>
          <w:rFonts w:eastAsia="Arial Unicode MS"/>
          <w:sz w:val="28"/>
          <w:szCs w:val="28"/>
        </w:rPr>
        <w:t>ритонавиром</w:t>
      </w:r>
      <w:proofErr w:type="spellEnd"/>
      <w:r w:rsidRPr="009C3B63">
        <w:rPr>
          <w:rFonts w:eastAsia="Arial Unicode MS"/>
          <w:sz w:val="28"/>
          <w:szCs w:val="28"/>
        </w:rPr>
        <w:t xml:space="preserve"> (повышение в 3</w:t>
      </w:r>
      <w:r w:rsidR="009E66A7" w:rsidRPr="009C3B63">
        <w:rPr>
          <w:rFonts w:eastAsia="Arial Unicode MS"/>
          <w:sz w:val="28"/>
          <w:szCs w:val="28"/>
        </w:rPr>
        <w:t>.</w:t>
      </w:r>
      <w:r w:rsidRPr="009C3B63">
        <w:rPr>
          <w:rFonts w:eastAsia="Arial Unicode MS"/>
          <w:sz w:val="28"/>
          <w:szCs w:val="28"/>
        </w:rPr>
        <w:t>1 раза).</w:t>
      </w:r>
      <w:proofErr w:type="gramEnd"/>
    </w:p>
    <w:p w:rsidR="009E66A7" w:rsidRPr="009C3B63" w:rsidRDefault="009E66A7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Если наблюдается увеличение AUC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 xml:space="preserve"> менее чем в 2 раза, нет необходимости уменьшать начальную дозу препарата, но следует соблюдать осторожность при увеличении дозы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Pr="009C3B63">
        <w:rPr>
          <w:rFonts w:eastAsia="Arial Unicode MS"/>
          <w:sz w:val="28"/>
          <w:szCs w:val="28"/>
        </w:rPr>
        <w:t xml:space="preserve"> выше 20 мг.</w:t>
      </w:r>
    </w:p>
    <w:p w:rsidR="00925DFE" w:rsidRPr="009C3B63" w:rsidRDefault="00925DFE" w:rsidP="009C3B63">
      <w:pPr>
        <w:jc w:val="both"/>
        <w:rPr>
          <w:rFonts w:eastAsia="Arial Unicode MS"/>
          <w:sz w:val="28"/>
          <w:szCs w:val="28"/>
        </w:rPr>
      </w:pPr>
    </w:p>
    <w:p w:rsidR="00925DFE" w:rsidRPr="009C3B63" w:rsidRDefault="00925DFE" w:rsidP="009C3B63">
      <w:pPr>
        <w:jc w:val="both"/>
        <w:rPr>
          <w:rFonts w:eastAsia="Arial Unicode MS"/>
          <w:i/>
          <w:sz w:val="28"/>
          <w:szCs w:val="28"/>
        </w:rPr>
      </w:pPr>
      <w:r w:rsidRPr="009C3B63">
        <w:rPr>
          <w:rFonts w:eastAsia="Arial Unicode MS"/>
          <w:i/>
          <w:sz w:val="28"/>
          <w:szCs w:val="28"/>
        </w:rPr>
        <w:t xml:space="preserve">Таблица 1. Влияние лекарственных препаратов на воздействие </w:t>
      </w:r>
      <w:proofErr w:type="spellStart"/>
      <w:r w:rsidRPr="009C3B63">
        <w:rPr>
          <w:rFonts w:eastAsia="Arial Unicode MS"/>
          <w:i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i/>
          <w:sz w:val="28"/>
          <w:szCs w:val="28"/>
        </w:rPr>
        <w:t xml:space="preserve"> (AUC; в порядке убывания величины) при совместном применении </w:t>
      </w:r>
    </w:p>
    <w:p w:rsidR="001C730C" w:rsidRPr="009C3B63" w:rsidRDefault="001C730C" w:rsidP="009C3B63">
      <w:pPr>
        <w:jc w:val="both"/>
        <w:rPr>
          <w:rFonts w:eastAsia="Arial Unicode MS"/>
          <w:i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361"/>
        <w:gridCol w:w="2868"/>
        <w:gridCol w:w="2058"/>
      </w:tblGrid>
      <w:tr w:rsidR="006D4CF6" w:rsidRPr="009420B7" w:rsidTr="0072181C">
        <w:tc>
          <w:tcPr>
            <w:tcW w:w="4361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0B7">
              <w:rPr>
                <w:rFonts w:ascii="Times New Roman" w:hAnsi="Times New Roman"/>
                <w:b/>
                <w:sz w:val="28"/>
                <w:szCs w:val="28"/>
              </w:rPr>
              <w:t>Схема дозировки</w:t>
            </w:r>
          </w:p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0B7">
              <w:rPr>
                <w:rFonts w:ascii="Times New Roman" w:hAnsi="Times New Roman"/>
                <w:b/>
                <w:sz w:val="28"/>
                <w:szCs w:val="28"/>
              </w:rPr>
              <w:t>взаимодействующих</w:t>
            </w:r>
          </w:p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0B7">
              <w:rPr>
                <w:rFonts w:ascii="Times New Roman" w:hAnsi="Times New Roman"/>
                <w:b/>
                <w:sz w:val="28"/>
                <w:szCs w:val="28"/>
              </w:rPr>
              <w:t>лекарственных препаратов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0B7">
              <w:rPr>
                <w:rFonts w:ascii="Times New Roman" w:hAnsi="Times New Roman"/>
                <w:b/>
                <w:sz w:val="28"/>
                <w:szCs w:val="28"/>
              </w:rPr>
              <w:t xml:space="preserve">Схема дозировки </w:t>
            </w:r>
            <w:proofErr w:type="spellStart"/>
            <w:r w:rsidRPr="009420B7">
              <w:rPr>
                <w:rFonts w:ascii="Times New Roman" w:hAnsi="Times New Roman"/>
                <w:b/>
                <w:sz w:val="28"/>
                <w:szCs w:val="28"/>
              </w:rPr>
              <w:t>розувастатина</w:t>
            </w:r>
            <w:proofErr w:type="spellEnd"/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420B7">
              <w:rPr>
                <w:rFonts w:ascii="Times New Roman" w:hAnsi="Times New Roman"/>
                <w:b/>
                <w:sz w:val="28"/>
                <w:szCs w:val="28"/>
              </w:rPr>
              <w:t xml:space="preserve">Изменения в AUC* </w:t>
            </w:r>
            <w:proofErr w:type="spellStart"/>
            <w:r w:rsidRPr="009420B7">
              <w:rPr>
                <w:rFonts w:ascii="Times New Roman" w:hAnsi="Times New Roman"/>
                <w:b/>
                <w:sz w:val="28"/>
                <w:szCs w:val="28"/>
              </w:rPr>
              <w:t>розувастатина</w:t>
            </w:r>
            <w:proofErr w:type="spellEnd"/>
          </w:p>
        </w:tc>
      </w:tr>
      <w:tr w:rsidR="006D4CF6" w:rsidRPr="009420B7" w:rsidTr="0072181C">
        <w:tc>
          <w:tcPr>
            <w:tcW w:w="9287" w:type="dxa"/>
            <w:gridSpan w:val="3"/>
          </w:tcPr>
          <w:p w:rsidR="006D4CF6" w:rsidRPr="00722C6D" w:rsidRDefault="006D4CF6" w:rsidP="007218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2C6D">
              <w:rPr>
                <w:rFonts w:ascii="Times New Roman" w:hAnsi="Times New Roman"/>
                <w:b/>
                <w:sz w:val="28"/>
                <w:szCs w:val="28"/>
              </w:rPr>
              <w:t xml:space="preserve">Двукратное увеличение AUC </w:t>
            </w:r>
            <w:proofErr w:type="spellStart"/>
            <w:r w:rsidRPr="00722C6D">
              <w:rPr>
                <w:rFonts w:ascii="Times New Roman" w:hAnsi="Times New Roman"/>
                <w:b/>
                <w:sz w:val="28"/>
                <w:szCs w:val="28"/>
              </w:rPr>
              <w:t>розувастатина</w:t>
            </w:r>
            <w:proofErr w:type="spellEnd"/>
            <w:r w:rsidRPr="00722C6D">
              <w:rPr>
                <w:rFonts w:ascii="Times New Roman" w:hAnsi="Times New Roman"/>
                <w:b/>
                <w:sz w:val="28"/>
                <w:szCs w:val="28"/>
              </w:rPr>
              <w:t xml:space="preserve"> или более</w:t>
            </w:r>
          </w:p>
        </w:tc>
      </w:tr>
      <w:tr w:rsidR="006D4CF6" w:rsidRPr="009420B7" w:rsidTr="0072181C">
        <w:tc>
          <w:tcPr>
            <w:tcW w:w="4361" w:type="dxa"/>
          </w:tcPr>
          <w:p w:rsidR="006D4CF6" w:rsidRPr="00722C6D" w:rsidRDefault="006D4CF6" w:rsidP="007218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C6D">
              <w:rPr>
                <w:rFonts w:ascii="Times New Roman" w:hAnsi="Times New Roman"/>
                <w:sz w:val="28"/>
                <w:szCs w:val="28"/>
              </w:rPr>
              <w:t>Софосбувир</w:t>
            </w:r>
            <w:proofErr w:type="spellEnd"/>
            <w:r w:rsidRPr="00722C6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22C6D">
              <w:rPr>
                <w:rFonts w:ascii="Times New Roman" w:hAnsi="Times New Roman"/>
                <w:sz w:val="28"/>
                <w:szCs w:val="28"/>
              </w:rPr>
              <w:t>велпатасвир</w:t>
            </w:r>
            <w:proofErr w:type="spellEnd"/>
            <w:r w:rsidRPr="00722C6D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6D4CF6" w:rsidRPr="00722C6D" w:rsidRDefault="006D4CF6" w:rsidP="007218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C6D">
              <w:rPr>
                <w:rFonts w:ascii="Times New Roman" w:hAnsi="Times New Roman"/>
                <w:sz w:val="28"/>
                <w:szCs w:val="28"/>
              </w:rPr>
              <w:t>воксилапревир</w:t>
            </w:r>
            <w:proofErr w:type="spellEnd"/>
            <w:r w:rsidRPr="00722C6D">
              <w:rPr>
                <w:rFonts w:ascii="Times New Roman" w:hAnsi="Times New Roman"/>
                <w:sz w:val="28"/>
                <w:szCs w:val="28"/>
              </w:rPr>
              <w:t xml:space="preserve"> (400 мг-100 </w:t>
            </w:r>
            <w:proofErr w:type="spellStart"/>
            <w:r w:rsidRPr="00722C6D">
              <w:rPr>
                <w:rFonts w:ascii="Times New Roman" w:hAnsi="Times New Roman"/>
                <w:sz w:val="28"/>
                <w:szCs w:val="28"/>
              </w:rPr>
              <w:t>мг-100</w:t>
            </w:r>
            <w:proofErr w:type="spellEnd"/>
            <w:r w:rsidRPr="00722C6D">
              <w:rPr>
                <w:rFonts w:ascii="Times New Roman" w:hAnsi="Times New Roman"/>
                <w:sz w:val="28"/>
                <w:szCs w:val="28"/>
              </w:rPr>
              <w:t xml:space="preserve"> мг) + </w:t>
            </w:r>
            <w:proofErr w:type="spellStart"/>
            <w:r w:rsidRPr="00722C6D">
              <w:rPr>
                <w:rFonts w:ascii="Times New Roman" w:hAnsi="Times New Roman"/>
                <w:sz w:val="28"/>
                <w:szCs w:val="28"/>
              </w:rPr>
              <w:t>воксилапревир</w:t>
            </w:r>
            <w:proofErr w:type="spellEnd"/>
            <w:r w:rsidRPr="00722C6D">
              <w:rPr>
                <w:rFonts w:ascii="Times New Roman" w:hAnsi="Times New Roman"/>
                <w:sz w:val="28"/>
                <w:szCs w:val="28"/>
              </w:rPr>
              <w:t xml:space="preserve"> (100 мг) 1 </w:t>
            </w:r>
            <w:proofErr w:type="gramStart"/>
            <w:r w:rsidRPr="00722C6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722C6D">
              <w:rPr>
                <w:rFonts w:ascii="Times New Roman" w:hAnsi="Times New Roman"/>
                <w:sz w:val="28"/>
                <w:szCs w:val="28"/>
              </w:rPr>
              <w:t>/д в течение 15 дней</w:t>
            </w:r>
          </w:p>
        </w:tc>
        <w:tc>
          <w:tcPr>
            <w:tcW w:w="2868" w:type="dxa"/>
          </w:tcPr>
          <w:p w:rsidR="006D4CF6" w:rsidRPr="00722C6D" w:rsidRDefault="006D4CF6" w:rsidP="0072181C">
            <w:pPr>
              <w:jc w:val="center"/>
              <w:rPr>
                <w:sz w:val="28"/>
                <w:szCs w:val="28"/>
              </w:rPr>
            </w:pPr>
            <w:r w:rsidRPr="00722C6D">
              <w:rPr>
                <w:rFonts w:ascii="Times New Roman" w:hAnsi="Times New Roman"/>
                <w:sz w:val="28"/>
                <w:szCs w:val="28"/>
              </w:rPr>
              <w:t>10 мг, однократная доза</w:t>
            </w:r>
          </w:p>
        </w:tc>
        <w:tc>
          <w:tcPr>
            <w:tcW w:w="2058" w:type="dxa"/>
          </w:tcPr>
          <w:p w:rsidR="006D4CF6" w:rsidRPr="00722C6D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C6D">
              <w:rPr>
                <w:rFonts w:ascii="Times New Roman" w:hAnsi="Times New Roman"/>
                <w:sz w:val="28"/>
                <w:szCs w:val="28"/>
              </w:rPr>
              <w:t>В 7.</w:t>
            </w:r>
            <w:r w:rsidRPr="00722C6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22C6D">
              <w:rPr>
                <w:rFonts w:ascii="Times New Roman" w:hAnsi="Times New Roman"/>
                <w:sz w:val="28"/>
                <w:szCs w:val="28"/>
              </w:rPr>
              <w:t xml:space="preserve"> раза </w:t>
            </w:r>
            <w:r w:rsidRPr="00722C6D">
              <w:rPr>
                <w:rFonts w:ascii="Symbol" w:eastAsia="Times New Roman" w:hAnsi="Symbol"/>
                <w:sz w:val="24"/>
                <w:szCs w:val="24"/>
                <w:lang w:eastAsia="ru-RU"/>
              </w:rPr>
              <w:t></w:t>
            </w:r>
          </w:p>
        </w:tc>
      </w:tr>
      <w:tr w:rsidR="006D4CF6" w:rsidRPr="009420B7" w:rsidTr="0072181C">
        <w:tc>
          <w:tcPr>
            <w:tcW w:w="4361" w:type="dxa"/>
          </w:tcPr>
          <w:p w:rsidR="006D4CF6" w:rsidRPr="009420B7" w:rsidRDefault="006D4CF6" w:rsidP="007218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Циклоспорин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75 мг 2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 до 200 мг 2 р/д, 6 месяцев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 xml:space="preserve">10 мг 1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10 дней</w:t>
            </w: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В 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0B7">
              <w:rPr>
                <w:rFonts w:ascii="Times New Roman" w:hAnsi="Times New Roman"/>
                <w:sz w:val="28"/>
                <w:szCs w:val="28"/>
              </w:rPr>
              <w:t xml:space="preserve">1 раза </w:t>
            </w:r>
            <w:r w:rsidRPr="009420B7">
              <w:rPr>
                <w:rFonts w:ascii="Symbol" w:eastAsia="Times New Roman" w:hAnsi="Symbol"/>
                <w:sz w:val="24"/>
                <w:szCs w:val="24"/>
                <w:lang w:eastAsia="ru-RU"/>
              </w:rPr>
              <w:t></w:t>
            </w:r>
          </w:p>
        </w:tc>
      </w:tr>
      <w:tr w:rsidR="006D4CF6" w:rsidRPr="009420B7" w:rsidTr="0072181C">
        <w:tc>
          <w:tcPr>
            <w:tcW w:w="4361" w:type="dxa"/>
          </w:tcPr>
          <w:p w:rsidR="006D4CF6" w:rsidRPr="009A6CC6" w:rsidRDefault="006D4CF6" w:rsidP="007218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6CC6">
              <w:rPr>
                <w:rFonts w:ascii="Times New Roman" w:hAnsi="Times New Roman"/>
                <w:sz w:val="28"/>
                <w:szCs w:val="28"/>
              </w:rPr>
              <w:t>Даролутамид</w:t>
            </w:r>
            <w:proofErr w:type="spellEnd"/>
            <w:r w:rsidRPr="009A6CC6">
              <w:rPr>
                <w:rFonts w:ascii="Times New Roman" w:hAnsi="Times New Roman"/>
                <w:sz w:val="28"/>
                <w:szCs w:val="28"/>
              </w:rPr>
              <w:t xml:space="preserve"> 600 мг 2 </w:t>
            </w:r>
            <w:proofErr w:type="gramStart"/>
            <w:r w:rsidRPr="009A6CC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A6CC6">
              <w:rPr>
                <w:rFonts w:ascii="Times New Roman" w:hAnsi="Times New Roman"/>
                <w:sz w:val="28"/>
                <w:szCs w:val="28"/>
              </w:rPr>
              <w:t>/д, 5 дней</w:t>
            </w:r>
          </w:p>
        </w:tc>
        <w:tc>
          <w:tcPr>
            <w:tcW w:w="2868" w:type="dxa"/>
          </w:tcPr>
          <w:p w:rsidR="006D4CF6" w:rsidRPr="009A6CC6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C6">
              <w:rPr>
                <w:rFonts w:ascii="Times New Roman" w:hAnsi="Times New Roman"/>
                <w:sz w:val="28"/>
                <w:szCs w:val="28"/>
              </w:rPr>
              <w:t>5 мг, однократная доза</w:t>
            </w:r>
          </w:p>
        </w:tc>
        <w:tc>
          <w:tcPr>
            <w:tcW w:w="2058" w:type="dxa"/>
          </w:tcPr>
          <w:p w:rsidR="006D4CF6" w:rsidRPr="009A6CC6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C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9A6CC6">
              <w:rPr>
                <w:rFonts w:ascii="Times New Roman" w:hAnsi="Times New Roman"/>
                <w:sz w:val="28"/>
                <w:szCs w:val="28"/>
                <w:lang w:val="en-US"/>
              </w:rPr>
              <w:t>5.2</w:t>
            </w:r>
            <w:r w:rsidRPr="009A6CC6">
              <w:rPr>
                <w:rFonts w:ascii="Times New Roman" w:hAnsi="Times New Roman"/>
                <w:sz w:val="28"/>
                <w:szCs w:val="28"/>
              </w:rPr>
              <w:t xml:space="preserve"> раза</w:t>
            </w:r>
            <w:r w:rsidRPr="009420B7">
              <w:rPr>
                <w:rFonts w:ascii="Symbol" w:eastAsia="Times New Roman" w:hAnsi="Symbol"/>
                <w:sz w:val="24"/>
                <w:szCs w:val="24"/>
                <w:lang w:eastAsia="ru-RU"/>
              </w:rPr>
              <w:t></w:t>
            </w:r>
          </w:p>
          <w:p w:rsidR="006D4CF6" w:rsidRPr="009A6CC6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4CF6" w:rsidRPr="009420B7" w:rsidTr="0072181C">
        <w:trPr>
          <w:trHeight w:val="620"/>
        </w:trPr>
        <w:tc>
          <w:tcPr>
            <w:tcW w:w="4361" w:type="dxa"/>
          </w:tcPr>
          <w:p w:rsidR="006D4CF6" w:rsidRPr="009420B7" w:rsidRDefault="006D4CF6" w:rsidP="007218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Регорафениб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160 мг 1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14 дней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5 мг, однократная доза</w:t>
            </w: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В 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0B7">
              <w:rPr>
                <w:rFonts w:ascii="Times New Roman" w:hAnsi="Times New Roman"/>
                <w:sz w:val="28"/>
                <w:szCs w:val="28"/>
              </w:rPr>
              <w:t xml:space="preserve">8 раза </w:t>
            </w:r>
            <w:r w:rsidRPr="009420B7">
              <w:rPr>
                <w:rFonts w:ascii="Symbol" w:eastAsia="Times New Roman" w:hAnsi="Symbol"/>
                <w:sz w:val="24"/>
                <w:szCs w:val="24"/>
                <w:lang w:eastAsia="ru-RU"/>
              </w:rPr>
              <w:t></w:t>
            </w:r>
          </w:p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4CF6" w:rsidRPr="009420B7" w:rsidTr="0072181C">
        <w:trPr>
          <w:trHeight w:val="687"/>
        </w:trPr>
        <w:tc>
          <w:tcPr>
            <w:tcW w:w="4361" w:type="dxa"/>
          </w:tcPr>
          <w:p w:rsidR="006D4CF6" w:rsidRPr="009420B7" w:rsidRDefault="006D4CF6" w:rsidP="007218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Атазанавир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300 мг/ </w:t>
            </w: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ритонавир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100 мг 1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8 дней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10 мг, однократная доза</w:t>
            </w: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В 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0B7">
              <w:rPr>
                <w:rFonts w:ascii="Times New Roman" w:hAnsi="Times New Roman"/>
                <w:sz w:val="28"/>
                <w:szCs w:val="28"/>
              </w:rPr>
              <w:t xml:space="preserve">1 раза </w:t>
            </w:r>
            <w:r w:rsidRPr="009420B7">
              <w:rPr>
                <w:rFonts w:ascii="Symbol" w:eastAsia="Times New Roman" w:hAnsi="Symbol"/>
                <w:sz w:val="24"/>
                <w:szCs w:val="24"/>
                <w:lang w:eastAsia="ru-RU"/>
              </w:rPr>
              <w:t></w:t>
            </w:r>
          </w:p>
          <w:p w:rsidR="006D4CF6" w:rsidRPr="009420B7" w:rsidRDefault="006D4CF6" w:rsidP="0072181C">
            <w:pPr>
              <w:jc w:val="center"/>
              <w:rPr>
                <w:sz w:val="28"/>
                <w:szCs w:val="28"/>
              </w:rPr>
            </w:pPr>
          </w:p>
        </w:tc>
      </w:tr>
      <w:tr w:rsidR="006D4CF6" w:rsidRPr="009420B7" w:rsidTr="0072181C">
        <w:trPr>
          <w:trHeight w:val="619"/>
        </w:trPr>
        <w:tc>
          <w:tcPr>
            <w:tcW w:w="4361" w:type="dxa"/>
          </w:tcPr>
          <w:p w:rsidR="006D4CF6" w:rsidRPr="009420B7" w:rsidRDefault="006D4CF6" w:rsidP="007218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Велпатасвир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100 мг 1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</w:t>
            </w:r>
          </w:p>
          <w:p w:rsidR="006D4CF6" w:rsidRPr="009420B7" w:rsidRDefault="006D4CF6" w:rsidP="0072181C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10 мг, однократная доза</w:t>
            </w: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В 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0B7">
              <w:rPr>
                <w:rFonts w:ascii="Times New Roman" w:hAnsi="Times New Roman"/>
                <w:sz w:val="28"/>
                <w:szCs w:val="28"/>
              </w:rPr>
              <w:t xml:space="preserve">7 раза </w:t>
            </w:r>
            <w:r w:rsidRPr="009420B7">
              <w:rPr>
                <w:rFonts w:ascii="Symbol" w:eastAsia="Times New Roman" w:hAnsi="Symbol"/>
                <w:sz w:val="24"/>
                <w:szCs w:val="24"/>
                <w:lang w:eastAsia="ru-RU"/>
              </w:rPr>
              <w:t></w:t>
            </w:r>
          </w:p>
          <w:p w:rsidR="006D4CF6" w:rsidRPr="009420B7" w:rsidRDefault="006D4CF6" w:rsidP="0072181C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6D4CF6" w:rsidRPr="009420B7" w:rsidTr="0072181C">
        <w:trPr>
          <w:trHeight w:val="994"/>
        </w:trPr>
        <w:tc>
          <w:tcPr>
            <w:tcW w:w="4361" w:type="dxa"/>
          </w:tcPr>
          <w:p w:rsidR="006D4CF6" w:rsidRPr="00F2182D" w:rsidRDefault="006D4CF6" w:rsidP="007218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Омбитасвир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25 мг/</w:t>
            </w: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паритапревир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150 мг/</w:t>
            </w: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ритонавир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100 мг 1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/день /</w:t>
            </w: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дасабувир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400 мг 2 р/д, 14 дней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5 мг, однократная доза</w:t>
            </w: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В 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0B7">
              <w:rPr>
                <w:rFonts w:ascii="Times New Roman" w:hAnsi="Times New Roman"/>
                <w:sz w:val="28"/>
                <w:szCs w:val="28"/>
              </w:rPr>
              <w:t xml:space="preserve">6 раза </w:t>
            </w:r>
            <w:r w:rsidRPr="009420B7">
              <w:rPr>
                <w:rFonts w:ascii="Symbol" w:eastAsia="Times New Roman" w:hAnsi="Symbol"/>
                <w:sz w:val="24"/>
                <w:szCs w:val="24"/>
                <w:lang w:eastAsia="ru-RU"/>
              </w:rPr>
              <w:t></w:t>
            </w:r>
          </w:p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4CF6" w:rsidRPr="009420B7" w:rsidRDefault="006D4CF6" w:rsidP="0072181C">
            <w:pPr>
              <w:rPr>
                <w:sz w:val="28"/>
                <w:szCs w:val="28"/>
              </w:rPr>
            </w:pPr>
          </w:p>
        </w:tc>
      </w:tr>
      <w:tr w:rsidR="006D4CF6" w:rsidRPr="009420B7" w:rsidTr="0072181C">
        <w:trPr>
          <w:trHeight w:val="735"/>
        </w:trPr>
        <w:tc>
          <w:tcPr>
            <w:tcW w:w="4361" w:type="dxa"/>
          </w:tcPr>
          <w:p w:rsidR="006D4CF6" w:rsidRPr="009420B7" w:rsidRDefault="006D4CF6" w:rsidP="007218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Гразопревир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200 мг /</w:t>
            </w: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эльбасвир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50 мг 1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11 дней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10 мг, однократная доза</w:t>
            </w: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В 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0B7">
              <w:rPr>
                <w:rFonts w:ascii="Times New Roman" w:hAnsi="Times New Roman"/>
                <w:sz w:val="28"/>
                <w:szCs w:val="28"/>
              </w:rPr>
              <w:t xml:space="preserve">3 раза </w:t>
            </w:r>
            <w:r w:rsidRPr="009420B7">
              <w:rPr>
                <w:rFonts w:ascii="Symbol" w:eastAsia="Times New Roman" w:hAnsi="Symbol"/>
                <w:sz w:val="24"/>
                <w:szCs w:val="24"/>
                <w:lang w:eastAsia="ru-RU"/>
              </w:rPr>
              <w:t></w:t>
            </w:r>
          </w:p>
          <w:p w:rsidR="006D4CF6" w:rsidRPr="009420B7" w:rsidRDefault="006D4CF6" w:rsidP="0072181C">
            <w:pPr>
              <w:jc w:val="center"/>
              <w:rPr>
                <w:sz w:val="28"/>
                <w:szCs w:val="28"/>
              </w:rPr>
            </w:pPr>
          </w:p>
        </w:tc>
      </w:tr>
      <w:tr w:rsidR="006D4CF6" w:rsidRPr="009420B7" w:rsidTr="0072181C">
        <w:trPr>
          <w:trHeight w:val="771"/>
        </w:trPr>
        <w:tc>
          <w:tcPr>
            <w:tcW w:w="4361" w:type="dxa"/>
          </w:tcPr>
          <w:p w:rsidR="006D4CF6" w:rsidRPr="009420B7" w:rsidRDefault="006D4CF6" w:rsidP="007218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lastRenderedPageBreak/>
              <w:t>Глекапревир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400 мг /</w:t>
            </w: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пибрентасвир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120 мг один раз в день, 7 дней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 xml:space="preserve">5 мг, 1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7 дней</w:t>
            </w:r>
          </w:p>
          <w:p w:rsidR="006D4CF6" w:rsidRPr="009420B7" w:rsidRDefault="006D4CF6" w:rsidP="0072181C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В 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0B7">
              <w:rPr>
                <w:rFonts w:ascii="Times New Roman" w:hAnsi="Times New Roman"/>
                <w:sz w:val="28"/>
                <w:szCs w:val="28"/>
              </w:rPr>
              <w:t xml:space="preserve">2 раза </w:t>
            </w:r>
            <w:r w:rsidRPr="009420B7">
              <w:rPr>
                <w:rFonts w:ascii="Symbol" w:eastAsia="Times New Roman" w:hAnsi="Symbol"/>
                <w:sz w:val="24"/>
                <w:szCs w:val="24"/>
                <w:lang w:eastAsia="ru-RU"/>
              </w:rPr>
              <w:t></w:t>
            </w:r>
          </w:p>
          <w:p w:rsidR="006D4CF6" w:rsidRPr="009420B7" w:rsidRDefault="006D4CF6" w:rsidP="0072181C">
            <w:pPr>
              <w:jc w:val="center"/>
              <w:rPr>
                <w:sz w:val="28"/>
                <w:szCs w:val="28"/>
              </w:rPr>
            </w:pPr>
          </w:p>
        </w:tc>
      </w:tr>
      <w:tr w:rsidR="006D4CF6" w:rsidRPr="009420B7" w:rsidTr="0072181C">
        <w:trPr>
          <w:trHeight w:val="681"/>
        </w:trPr>
        <w:tc>
          <w:tcPr>
            <w:tcW w:w="4361" w:type="dxa"/>
          </w:tcPr>
          <w:p w:rsidR="006D4CF6" w:rsidRPr="009420B7" w:rsidRDefault="006D4CF6" w:rsidP="007218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Лопинавир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400 мг /</w:t>
            </w: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ритонавир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100 мг два раза в день, 17 дней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 xml:space="preserve">20 мг 1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7 дней</w:t>
            </w:r>
          </w:p>
          <w:p w:rsidR="006D4CF6" w:rsidRPr="009420B7" w:rsidRDefault="006D4CF6" w:rsidP="0072181C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В 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0B7">
              <w:rPr>
                <w:rFonts w:ascii="Times New Roman" w:hAnsi="Times New Roman"/>
                <w:sz w:val="28"/>
                <w:szCs w:val="28"/>
              </w:rPr>
              <w:t>1 раза</w:t>
            </w:r>
            <w:r w:rsidRPr="009420B7">
              <w:rPr>
                <w:rFonts w:ascii="Symbol" w:eastAsia="Times New Roman" w:hAnsi="Symbol"/>
                <w:sz w:val="24"/>
                <w:szCs w:val="24"/>
                <w:lang w:eastAsia="ru-RU"/>
              </w:rPr>
              <w:t></w:t>
            </w:r>
          </w:p>
          <w:p w:rsidR="006D4CF6" w:rsidRPr="009420B7" w:rsidRDefault="006D4CF6" w:rsidP="0072181C">
            <w:pPr>
              <w:jc w:val="center"/>
              <w:rPr>
                <w:sz w:val="28"/>
                <w:szCs w:val="28"/>
              </w:rPr>
            </w:pPr>
          </w:p>
        </w:tc>
      </w:tr>
      <w:tr w:rsidR="006D4CF6" w:rsidRPr="009420B7" w:rsidTr="0072181C">
        <w:trPr>
          <w:trHeight w:val="960"/>
        </w:trPr>
        <w:tc>
          <w:tcPr>
            <w:tcW w:w="4361" w:type="dxa"/>
          </w:tcPr>
          <w:p w:rsidR="006D4CF6" w:rsidRPr="009420B7" w:rsidRDefault="006D4CF6" w:rsidP="007218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A63A30">
              <w:rPr>
                <w:rFonts w:ascii="Times New Roman" w:hAnsi="Times New Roman"/>
                <w:sz w:val="28"/>
                <w:szCs w:val="28"/>
              </w:rPr>
              <w:t>лопидогрела</w:t>
            </w:r>
            <w:proofErr w:type="spellEnd"/>
            <w:r w:rsidR="00A63A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420B7">
              <w:rPr>
                <w:rFonts w:ascii="Times New Roman" w:hAnsi="Times New Roman"/>
                <w:sz w:val="28"/>
                <w:szCs w:val="28"/>
              </w:rPr>
              <w:t>агрузочная доза 300 мг, затем 75 мг через 24 часа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20 мг, однократная доза</w:t>
            </w:r>
          </w:p>
          <w:p w:rsidR="006D4CF6" w:rsidRPr="009420B7" w:rsidRDefault="006D4CF6" w:rsidP="0072181C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 xml:space="preserve">В 2 раза </w:t>
            </w:r>
            <w:r w:rsidRPr="009420B7">
              <w:rPr>
                <w:rFonts w:ascii="Symbol" w:eastAsia="Times New Roman" w:hAnsi="Symbol"/>
                <w:sz w:val="24"/>
                <w:szCs w:val="24"/>
                <w:lang w:eastAsia="ru-RU"/>
              </w:rPr>
              <w:t></w:t>
            </w:r>
          </w:p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4CF6" w:rsidRPr="009420B7" w:rsidRDefault="006D4CF6" w:rsidP="0072181C">
            <w:pPr>
              <w:jc w:val="center"/>
              <w:rPr>
                <w:sz w:val="28"/>
                <w:szCs w:val="28"/>
              </w:rPr>
            </w:pPr>
          </w:p>
        </w:tc>
      </w:tr>
      <w:tr w:rsidR="006D4CF6" w:rsidRPr="009420B7" w:rsidTr="0072181C">
        <w:trPr>
          <w:trHeight w:val="704"/>
        </w:trPr>
        <w:tc>
          <w:tcPr>
            <w:tcW w:w="4361" w:type="dxa"/>
          </w:tcPr>
          <w:p w:rsidR="006D4CF6" w:rsidRPr="009420B7" w:rsidRDefault="006D4CF6" w:rsidP="007218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Гемфиброзил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600 мг 2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7 дней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80 мг, однократная доза</w:t>
            </w: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В 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0B7">
              <w:rPr>
                <w:rFonts w:ascii="Times New Roman" w:hAnsi="Times New Roman"/>
                <w:sz w:val="28"/>
                <w:szCs w:val="28"/>
              </w:rPr>
              <w:t xml:space="preserve">9 раза </w:t>
            </w:r>
            <w:r w:rsidRPr="009420B7">
              <w:rPr>
                <w:rFonts w:ascii="Symbol" w:eastAsia="Times New Roman" w:hAnsi="Symbol"/>
                <w:sz w:val="24"/>
                <w:szCs w:val="24"/>
                <w:lang w:eastAsia="ru-RU"/>
              </w:rPr>
              <w:t></w:t>
            </w:r>
          </w:p>
          <w:p w:rsidR="006D4CF6" w:rsidRPr="009420B7" w:rsidRDefault="006D4CF6" w:rsidP="0072181C">
            <w:pPr>
              <w:jc w:val="center"/>
              <w:rPr>
                <w:sz w:val="28"/>
                <w:szCs w:val="28"/>
              </w:rPr>
            </w:pPr>
          </w:p>
        </w:tc>
      </w:tr>
      <w:tr w:rsidR="006D4CF6" w:rsidRPr="009420B7" w:rsidTr="0072181C">
        <w:trPr>
          <w:trHeight w:val="415"/>
        </w:trPr>
        <w:tc>
          <w:tcPr>
            <w:tcW w:w="9287" w:type="dxa"/>
            <w:gridSpan w:val="3"/>
          </w:tcPr>
          <w:p w:rsidR="006D4CF6" w:rsidRPr="00C0400C" w:rsidRDefault="006D4CF6" w:rsidP="0072181C">
            <w:pPr>
              <w:pStyle w:val="2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C0400C">
              <w:rPr>
                <w:rFonts w:ascii="Times New Roman" w:hAnsi="Times New Roman"/>
                <w:bCs/>
                <w:szCs w:val="28"/>
              </w:rPr>
              <w:t xml:space="preserve">Увеличение AUC </w:t>
            </w:r>
            <w:proofErr w:type="spellStart"/>
            <w:r w:rsidRPr="00C0400C">
              <w:rPr>
                <w:rFonts w:ascii="Times New Roman" w:hAnsi="Times New Roman"/>
                <w:bCs/>
                <w:szCs w:val="28"/>
              </w:rPr>
              <w:t>розувастатина</w:t>
            </w:r>
            <w:proofErr w:type="spellEnd"/>
            <w:r w:rsidRPr="00C0400C">
              <w:rPr>
                <w:rFonts w:ascii="Times New Roman" w:hAnsi="Times New Roman"/>
                <w:bCs/>
                <w:szCs w:val="28"/>
              </w:rPr>
              <w:t xml:space="preserve"> менее чем в 2 раза</w:t>
            </w:r>
          </w:p>
        </w:tc>
      </w:tr>
      <w:tr w:rsidR="006D4CF6" w:rsidRPr="009420B7" w:rsidTr="0072181C">
        <w:trPr>
          <w:trHeight w:val="701"/>
        </w:trPr>
        <w:tc>
          <w:tcPr>
            <w:tcW w:w="4361" w:type="dxa"/>
          </w:tcPr>
          <w:p w:rsidR="006D4CF6" w:rsidRPr="009420B7" w:rsidRDefault="006D4CF6" w:rsidP="007218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Элтромбопаг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75 мг 1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5 дней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10 мг, однократная доза</w:t>
            </w: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В 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0B7">
              <w:rPr>
                <w:rFonts w:ascii="Times New Roman" w:hAnsi="Times New Roman"/>
                <w:sz w:val="28"/>
                <w:szCs w:val="28"/>
              </w:rPr>
              <w:t xml:space="preserve">6 раза </w:t>
            </w:r>
            <w:r w:rsidRPr="009420B7">
              <w:rPr>
                <w:rFonts w:ascii="Symbol" w:eastAsia="Times New Roman" w:hAnsi="Symbol"/>
                <w:sz w:val="24"/>
                <w:szCs w:val="24"/>
                <w:lang w:eastAsia="ru-RU"/>
              </w:rPr>
              <w:t></w:t>
            </w:r>
          </w:p>
          <w:p w:rsidR="006D4CF6" w:rsidRPr="009420B7" w:rsidRDefault="006D4CF6" w:rsidP="0072181C">
            <w:pPr>
              <w:jc w:val="center"/>
              <w:rPr>
                <w:sz w:val="28"/>
                <w:szCs w:val="28"/>
              </w:rPr>
            </w:pPr>
          </w:p>
        </w:tc>
      </w:tr>
      <w:tr w:rsidR="006D4CF6" w:rsidRPr="009420B7" w:rsidTr="0072181C">
        <w:trPr>
          <w:trHeight w:val="697"/>
        </w:trPr>
        <w:tc>
          <w:tcPr>
            <w:tcW w:w="4361" w:type="dxa"/>
          </w:tcPr>
          <w:p w:rsidR="006D4CF6" w:rsidRPr="009420B7" w:rsidRDefault="006D4CF6" w:rsidP="007218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Дарунавир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600 мг /</w:t>
            </w: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ритонавир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100 мг 2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7 дней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 xml:space="preserve">10 мг 1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7 дней</w:t>
            </w:r>
          </w:p>
          <w:p w:rsidR="006D4CF6" w:rsidRPr="009420B7" w:rsidRDefault="006D4CF6" w:rsidP="0072181C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В 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0B7">
              <w:rPr>
                <w:rFonts w:ascii="Times New Roman" w:hAnsi="Times New Roman"/>
                <w:sz w:val="28"/>
                <w:szCs w:val="28"/>
              </w:rPr>
              <w:t xml:space="preserve">5 раза </w:t>
            </w:r>
            <w:r w:rsidRPr="009420B7">
              <w:rPr>
                <w:rFonts w:ascii="Symbol" w:eastAsia="Times New Roman" w:hAnsi="Symbol"/>
                <w:sz w:val="24"/>
                <w:szCs w:val="24"/>
                <w:lang w:eastAsia="ru-RU"/>
              </w:rPr>
              <w:t></w:t>
            </w:r>
          </w:p>
          <w:p w:rsidR="006D4CF6" w:rsidRPr="009420B7" w:rsidRDefault="006D4CF6" w:rsidP="0072181C">
            <w:pPr>
              <w:jc w:val="center"/>
              <w:rPr>
                <w:sz w:val="28"/>
                <w:szCs w:val="28"/>
              </w:rPr>
            </w:pPr>
          </w:p>
        </w:tc>
      </w:tr>
      <w:tr w:rsidR="006D4CF6" w:rsidRPr="009420B7" w:rsidTr="0072181C">
        <w:trPr>
          <w:trHeight w:val="692"/>
        </w:trPr>
        <w:tc>
          <w:tcPr>
            <w:tcW w:w="4361" w:type="dxa"/>
          </w:tcPr>
          <w:p w:rsidR="006D4CF6" w:rsidRPr="009420B7" w:rsidRDefault="006D4CF6" w:rsidP="007218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Типранавир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500 мг /</w:t>
            </w: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ритонавир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200 мг 2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11 дней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10 мг, однократная доза</w:t>
            </w: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В 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0B7">
              <w:rPr>
                <w:rFonts w:ascii="Times New Roman" w:hAnsi="Times New Roman"/>
                <w:sz w:val="28"/>
                <w:szCs w:val="28"/>
              </w:rPr>
              <w:t xml:space="preserve">4 раза </w:t>
            </w:r>
            <w:r w:rsidRPr="009420B7">
              <w:rPr>
                <w:rFonts w:ascii="Symbol" w:eastAsia="Times New Roman" w:hAnsi="Symbol"/>
                <w:sz w:val="24"/>
                <w:szCs w:val="24"/>
                <w:lang w:eastAsia="ru-RU"/>
              </w:rPr>
              <w:t></w:t>
            </w:r>
          </w:p>
          <w:p w:rsidR="006D4CF6" w:rsidRPr="009420B7" w:rsidRDefault="006D4CF6" w:rsidP="0072181C">
            <w:pPr>
              <w:jc w:val="center"/>
              <w:rPr>
                <w:sz w:val="28"/>
                <w:szCs w:val="28"/>
              </w:rPr>
            </w:pPr>
          </w:p>
        </w:tc>
      </w:tr>
      <w:tr w:rsidR="006D4CF6" w:rsidRPr="009420B7" w:rsidTr="0072181C">
        <w:trPr>
          <w:trHeight w:val="652"/>
        </w:trPr>
        <w:tc>
          <w:tcPr>
            <w:tcW w:w="4361" w:type="dxa"/>
          </w:tcPr>
          <w:p w:rsidR="006D4CF6" w:rsidRPr="009420B7" w:rsidRDefault="006D4CF6" w:rsidP="0072181C">
            <w:pPr>
              <w:rPr>
                <w:rFonts w:eastAsia="Arial Unicode MS"/>
                <w:sz w:val="28"/>
                <w:szCs w:val="28"/>
              </w:rPr>
            </w:pP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Дронедарон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400 мг 1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5 дней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Недоступно</w:t>
            </w:r>
          </w:p>
          <w:p w:rsidR="006D4CF6" w:rsidRPr="009420B7" w:rsidRDefault="006D4CF6" w:rsidP="0072181C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В 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0B7">
              <w:rPr>
                <w:rFonts w:ascii="Times New Roman" w:hAnsi="Times New Roman"/>
                <w:sz w:val="28"/>
                <w:szCs w:val="28"/>
              </w:rPr>
              <w:t xml:space="preserve">4 раза </w:t>
            </w:r>
            <w:r w:rsidRPr="009420B7">
              <w:rPr>
                <w:rFonts w:ascii="Symbol" w:eastAsia="Times New Roman" w:hAnsi="Symbol"/>
                <w:sz w:val="24"/>
                <w:szCs w:val="24"/>
                <w:lang w:eastAsia="ru-RU"/>
              </w:rPr>
              <w:t></w:t>
            </w:r>
          </w:p>
        </w:tc>
      </w:tr>
      <w:tr w:rsidR="006D4CF6" w:rsidRPr="009420B7" w:rsidTr="0072181C">
        <w:trPr>
          <w:trHeight w:val="741"/>
        </w:trPr>
        <w:tc>
          <w:tcPr>
            <w:tcW w:w="4361" w:type="dxa"/>
          </w:tcPr>
          <w:p w:rsidR="006D4CF6" w:rsidRPr="009420B7" w:rsidRDefault="006D4CF6" w:rsidP="007218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Итраконазол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200 мг, 1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5 дней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10 мг, однократная доза</w:t>
            </w: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В 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0B7">
              <w:rPr>
                <w:rFonts w:ascii="Times New Roman" w:hAnsi="Times New Roman"/>
                <w:sz w:val="28"/>
                <w:szCs w:val="28"/>
              </w:rPr>
              <w:t xml:space="preserve">4 раза </w:t>
            </w:r>
            <w:r w:rsidRPr="009420B7">
              <w:rPr>
                <w:rFonts w:ascii="Symbol" w:hAnsi="Symbol"/>
                <w:sz w:val="24"/>
                <w:szCs w:val="24"/>
              </w:rPr>
              <w:t></w:t>
            </w:r>
            <w:r w:rsidRPr="009420B7">
              <w:rPr>
                <w:rFonts w:ascii="Symbol" w:hAnsi="Symbol"/>
                <w:sz w:val="24"/>
                <w:szCs w:val="24"/>
              </w:rPr>
              <w:t></w:t>
            </w:r>
            <w:r w:rsidRPr="009420B7">
              <w:rPr>
                <w:rFonts w:ascii="Symbol" w:hAnsi="Symbol"/>
                <w:sz w:val="24"/>
                <w:szCs w:val="24"/>
              </w:rPr>
              <w:t></w:t>
            </w:r>
          </w:p>
        </w:tc>
      </w:tr>
      <w:tr w:rsidR="006D4CF6" w:rsidRPr="009420B7" w:rsidTr="0072181C">
        <w:trPr>
          <w:trHeight w:val="450"/>
        </w:trPr>
        <w:tc>
          <w:tcPr>
            <w:tcW w:w="4361" w:type="dxa"/>
          </w:tcPr>
          <w:p w:rsidR="006D4CF6" w:rsidRPr="009420B7" w:rsidRDefault="006D4CF6" w:rsidP="007218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Эзетимиб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10 мг 1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14 дней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 xml:space="preserve">10 мг, 1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14 дней</w:t>
            </w: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В 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0B7">
              <w:rPr>
                <w:rFonts w:ascii="Times New Roman" w:hAnsi="Times New Roman"/>
                <w:sz w:val="28"/>
                <w:szCs w:val="28"/>
              </w:rPr>
              <w:t xml:space="preserve">2 раза </w:t>
            </w:r>
            <w:r w:rsidRPr="009420B7">
              <w:rPr>
                <w:rFonts w:ascii="Symbol" w:hAnsi="Symbol"/>
                <w:sz w:val="24"/>
                <w:szCs w:val="24"/>
              </w:rPr>
              <w:t></w:t>
            </w:r>
            <w:r w:rsidRPr="009420B7">
              <w:rPr>
                <w:rFonts w:ascii="Symbol" w:hAnsi="Symbol"/>
                <w:sz w:val="24"/>
                <w:szCs w:val="24"/>
              </w:rPr>
              <w:t></w:t>
            </w:r>
            <w:r w:rsidRPr="009420B7">
              <w:rPr>
                <w:rFonts w:ascii="Symbol" w:hAnsi="Symbol"/>
                <w:sz w:val="24"/>
                <w:szCs w:val="24"/>
              </w:rPr>
              <w:t></w:t>
            </w:r>
          </w:p>
        </w:tc>
      </w:tr>
      <w:tr w:rsidR="006D4CF6" w:rsidRPr="00C0400C" w:rsidTr="0072181C">
        <w:trPr>
          <w:trHeight w:val="439"/>
        </w:trPr>
        <w:tc>
          <w:tcPr>
            <w:tcW w:w="9287" w:type="dxa"/>
            <w:gridSpan w:val="3"/>
          </w:tcPr>
          <w:p w:rsidR="006D4CF6" w:rsidRPr="00C0400C" w:rsidRDefault="006D4CF6" w:rsidP="0072181C">
            <w:pPr>
              <w:rPr>
                <w:sz w:val="28"/>
                <w:szCs w:val="28"/>
                <w:lang w:bidi="en-US"/>
              </w:rPr>
            </w:pPr>
            <w:r w:rsidRPr="00C0400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Снижение AUC </w:t>
            </w:r>
            <w:proofErr w:type="spellStart"/>
            <w:r w:rsidRPr="00C0400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розувастатина</w:t>
            </w:r>
            <w:proofErr w:type="spellEnd"/>
          </w:p>
        </w:tc>
      </w:tr>
      <w:tr w:rsidR="006D4CF6" w:rsidRPr="009420B7" w:rsidTr="0072181C">
        <w:trPr>
          <w:trHeight w:val="683"/>
        </w:trPr>
        <w:tc>
          <w:tcPr>
            <w:tcW w:w="4361" w:type="dxa"/>
          </w:tcPr>
          <w:p w:rsidR="006D4CF6" w:rsidRPr="009420B7" w:rsidRDefault="006D4CF6" w:rsidP="0072181C">
            <w:pPr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 xml:space="preserve">Эритромицин 500 мг 4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7 дней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80 мг, однократная доза</w:t>
            </w: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Symbol" w:hAnsi="Symbol"/>
                <w:lang w:bidi="en-US"/>
              </w:rPr>
            </w:pPr>
            <w:r w:rsidRPr="009420B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20 % </w:t>
            </w:r>
            <w:r w:rsidRPr="009420B7">
              <w:rPr>
                <w:rFonts w:ascii="Symbol" w:hAnsi="Symbol"/>
                <w:lang w:bidi="en-US"/>
              </w:rPr>
              <w:t></w:t>
            </w:r>
          </w:p>
        </w:tc>
      </w:tr>
      <w:tr w:rsidR="006D4CF6" w:rsidRPr="009420B7" w:rsidTr="0072181C">
        <w:trPr>
          <w:trHeight w:val="270"/>
        </w:trPr>
        <w:tc>
          <w:tcPr>
            <w:tcW w:w="4361" w:type="dxa"/>
          </w:tcPr>
          <w:p w:rsidR="006D4CF6" w:rsidRPr="009420B7" w:rsidRDefault="006D4CF6" w:rsidP="0072181C">
            <w:pPr>
              <w:rPr>
                <w:rFonts w:eastAsia="Arial Unicode MS"/>
                <w:sz w:val="28"/>
                <w:szCs w:val="28"/>
              </w:rPr>
            </w:pP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Баикалин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50 мг 3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14 дней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20 мг, однократная доза</w:t>
            </w: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sz w:val="28"/>
                <w:szCs w:val="28"/>
                <w:lang w:bidi="en-US"/>
              </w:rPr>
            </w:pPr>
            <w:r w:rsidRPr="009420B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47 % </w:t>
            </w:r>
            <w:r w:rsidRPr="009420B7">
              <w:rPr>
                <w:rFonts w:ascii="Symbol" w:eastAsia="Times New Roman" w:hAnsi="Symbol"/>
                <w:lang w:bidi="en-US"/>
              </w:rPr>
              <w:t></w:t>
            </w:r>
          </w:p>
        </w:tc>
      </w:tr>
      <w:tr w:rsidR="006D4CF6" w:rsidRPr="009420B7" w:rsidTr="0072181C">
        <w:tc>
          <w:tcPr>
            <w:tcW w:w="9287" w:type="dxa"/>
            <w:gridSpan w:val="3"/>
          </w:tcPr>
          <w:p w:rsidR="006D4CF6" w:rsidRPr="009420B7" w:rsidRDefault="006D4CF6" w:rsidP="0072181C">
            <w:pPr>
              <w:widowControl w:val="0"/>
              <w:tabs>
                <w:tab w:val="left" w:pos="7832"/>
              </w:tabs>
              <w:autoSpaceDE w:val="0"/>
              <w:autoSpaceDN w:val="0"/>
              <w:ind w:left="36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9420B7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* Данные, представленные в виде x-кратного изменения, представляют собой простое соотношение между совместным приемом </w:t>
            </w:r>
            <w:proofErr w:type="spellStart"/>
            <w:r w:rsidRPr="009420B7">
              <w:rPr>
                <w:rFonts w:ascii="Times New Roman" w:hAnsi="Times New Roman"/>
                <w:sz w:val="26"/>
                <w:szCs w:val="26"/>
                <w:lang w:bidi="en-US"/>
              </w:rPr>
              <w:t>розувастатина</w:t>
            </w:r>
            <w:proofErr w:type="spellEnd"/>
            <w:r w:rsidRPr="009420B7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с другими препаратами и приемом только одного </w:t>
            </w:r>
            <w:proofErr w:type="spellStart"/>
            <w:r w:rsidRPr="009420B7">
              <w:rPr>
                <w:rFonts w:ascii="Times New Roman" w:hAnsi="Times New Roman"/>
                <w:sz w:val="26"/>
                <w:szCs w:val="26"/>
                <w:lang w:bidi="en-US"/>
              </w:rPr>
              <w:t>розувастатина</w:t>
            </w:r>
            <w:proofErr w:type="spellEnd"/>
            <w:r w:rsidRPr="009420B7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. Данные, представленные в виде % изменения, представляют собой процентную разницу по отношению к приему только одного  </w:t>
            </w:r>
            <w:proofErr w:type="spellStart"/>
            <w:r w:rsidRPr="009420B7">
              <w:rPr>
                <w:rFonts w:ascii="Times New Roman" w:hAnsi="Times New Roman"/>
                <w:sz w:val="26"/>
                <w:szCs w:val="26"/>
                <w:lang w:bidi="en-US"/>
              </w:rPr>
              <w:t>розувастатина</w:t>
            </w:r>
            <w:proofErr w:type="spellEnd"/>
            <w:r w:rsidRPr="009420B7">
              <w:rPr>
                <w:rFonts w:ascii="Times New Roman" w:hAnsi="Times New Roman"/>
                <w:sz w:val="26"/>
                <w:szCs w:val="26"/>
                <w:lang w:bidi="en-US"/>
              </w:rPr>
              <w:t>.</w:t>
            </w:r>
          </w:p>
          <w:p w:rsidR="006D4CF6" w:rsidRPr="009420B7" w:rsidRDefault="006D4CF6" w:rsidP="0072181C">
            <w:pPr>
              <w:widowControl w:val="0"/>
              <w:tabs>
                <w:tab w:val="left" w:pos="7832"/>
              </w:tabs>
              <w:autoSpaceDE w:val="0"/>
              <w:autoSpaceDN w:val="0"/>
              <w:ind w:left="36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9420B7">
              <w:rPr>
                <w:rFonts w:ascii="Times New Roman" w:hAnsi="Times New Roman"/>
                <w:sz w:val="26"/>
                <w:szCs w:val="26"/>
                <w:lang w:bidi="en-US"/>
              </w:rPr>
              <w:t>Увеличение – как  «</w:t>
            </w:r>
            <w:r w:rsidRPr="009420B7">
              <w:rPr>
                <w:rFonts w:ascii="Symbol" w:hAnsi="Symbol"/>
                <w:sz w:val="26"/>
                <w:szCs w:val="26"/>
                <w:lang w:bidi="en-US"/>
              </w:rPr>
              <w:t>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»,</w:t>
            </w:r>
            <w:r w:rsidRPr="009420B7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уменьшение — как «</w:t>
            </w:r>
            <w:r w:rsidRPr="009420B7">
              <w:rPr>
                <w:rFonts w:ascii="Symbol" w:hAnsi="Symbol"/>
                <w:sz w:val="26"/>
                <w:szCs w:val="26"/>
                <w:lang w:bidi="en-US"/>
              </w:rPr>
              <w:t></w:t>
            </w:r>
            <w:r w:rsidRPr="009420B7">
              <w:rPr>
                <w:rFonts w:ascii="Times New Roman" w:hAnsi="Times New Roman"/>
                <w:sz w:val="26"/>
                <w:szCs w:val="26"/>
                <w:lang w:bidi="en-US"/>
              </w:rPr>
              <w:t>».</w:t>
            </w:r>
          </w:p>
          <w:p w:rsidR="006D4CF6" w:rsidRPr="009420B7" w:rsidRDefault="006D4CF6" w:rsidP="0072181C">
            <w:pPr>
              <w:widowControl w:val="0"/>
              <w:tabs>
                <w:tab w:val="left" w:pos="7832"/>
              </w:tabs>
              <w:autoSpaceDE w:val="0"/>
              <w:autoSpaceDN w:val="0"/>
              <w:ind w:left="36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9420B7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** Проводилось несколько исследований взаимодействий при различных дозировках </w:t>
            </w:r>
            <w:proofErr w:type="spellStart"/>
            <w:r w:rsidR="00076A28" w:rsidRPr="00076A28">
              <w:rPr>
                <w:rFonts w:ascii="Times New Roman" w:hAnsi="Times New Roman"/>
                <w:sz w:val="26"/>
                <w:szCs w:val="26"/>
                <w:lang w:bidi="en-US"/>
              </w:rPr>
              <w:t>розувастатина</w:t>
            </w:r>
            <w:proofErr w:type="spellEnd"/>
            <w:r w:rsidRPr="009420B7">
              <w:rPr>
                <w:rFonts w:ascii="Times New Roman" w:hAnsi="Times New Roman"/>
                <w:sz w:val="26"/>
                <w:szCs w:val="26"/>
                <w:lang w:bidi="en-US"/>
              </w:rPr>
              <w:t>, в таблице представлены наиболее значимые соотношения.</w:t>
            </w:r>
          </w:p>
          <w:p w:rsidR="006D4CF6" w:rsidRPr="009420B7" w:rsidRDefault="006D4CF6" w:rsidP="0072181C">
            <w:pPr>
              <w:widowControl w:val="0"/>
              <w:tabs>
                <w:tab w:val="left" w:pos="7832"/>
              </w:tabs>
              <w:autoSpaceDE w:val="0"/>
              <w:autoSpaceDN w:val="0"/>
              <w:ind w:left="36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348C5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AUC — площадь под фармакокинетической кривой; </w:t>
            </w:r>
            <w:r w:rsidRPr="009420B7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1 </w:t>
            </w:r>
            <w:proofErr w:type="gramStart"/>
            <w:r w:rsidRPr="009420B7">
              <w:rPr>
                <w:rFonts w:ascii="Times New Roman" w:hAnsi="Times New Roman"/>
                <w:sz w:val="26"/>
                <w:szCs w:val="26"/>
                <w:lang w:bidi="en-US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6"/>
                <w:szCs w:val="26"/>
                <w:lang w:bidi="en-US"/>
              </w:rPr>
              <w:t>/д — один раз в день; 2 р/д — два раза в день; 3 р/д — три раза в день; 4 р/д — четыре раза в день.</w:t>
            </w:r>
          </w:p>
        </w:tc>
      </w:tr>
    </w:tbl>
    <w:p w:rsidR="001C730C" w:rsidRPr="009C3B63" w:rsidRDefault="001C730C" w:rsidP="009C3B63">
      <w:pPr>
        <w:jc w:val="both"/>
        <w:rPr>
          <w:rFonts w:eastAsia="Arial Unicode MS"/>
          <w:i/>
          <w:sz w:val="28"/>
          <w:szCs w:val="28"/>
        </w:rPr>
      </w:pPr>
    </w:p>
    <w:p w:rsidR="00446554" w:rsidRPr="009C3B63" w:rsidRDefault="00446554" w:rsidP="009C3B63">
      <w:pPr>
        <w:pStyle w:val="a3"/>
        <w:rPr>
          <w:szCs w:val="28"/>
        </w:rPr>
      </w:pPr>
      <w:r w:rsidRPr="009C3B63">
        <w:rPr>
          <w:szCs w:val="28"/>
        </w:rPr>
        <w:t xml:space="preserve">Следующие лекарственные препараты/комбинации не оказывали клинически значимого влияния на соотношение AUC </w:t>
      </w:r>
      <w:proofErr w:type="spellStart"/>
      <w:r w:rsidRPr="009C3B63">
        <w:rPr>
          <w:szCs w:val="28"/>
        </w:rPr>
        <w:t>розувастатина</w:t>
      </w:r>
      <w:proofErr w:type="spellEnd"/>
      <w:r w:rsidRPr="009C3B63">
        <w:rPr>
          <w:szCs w:val="28"/>
        </w:rPr>
        <w:t xml:space="preserve"> при одновременном применении: </w:t>
      </w:r>
      <w:proofErr w:type="spellStart"/>
      <w:r w:rsidRPr="009C3B63">
        <w:rPr>
          <w:szCs w:val="28"/>
        </w:rPr>
        <w:t>Алеглитазар</w:t>
      </w:r>
      <w:proofErr w:type="spellEnd"/>
      <w:r w:rsidRPr="009C3B63">
        <w:rPr>
          <w:szCs w:val="28"/>
        </w:rPr>
        <w:t xml:space="preserve"> 0.3 мг в течение 7 дней; </w:t>
      </w:r>
      <w:proofErr w:type="spellStart"/>
      <w:r w:rsidRPr="009C3B63">
        <w:rPr>
          <w:szCs w:val="28"/>
        </w:rPr>
        <w:lastRenderedPageBreak/>
        <w:t>Фенофибрат</w:t>
      </w:r>
      <w:proofErr w:type="spellEnd"/>
      <w:r w:rsidRPr="009C3B63">
        <w:rPr>
          <w:szCs w:val="28"/>
        </w:rPr>
        <w:t xml:space="preserve"> 67 мг 3 </w:t>
      </w:r>
      <w:proofErr w:type="gramStart"/>
      <w:r w:rsidRPr="009C3B63">
        <w:rPr>
          <w:szCs w:val="28"/>
        </w:rPr>
        <w:t>р</w:t>
      </w:r>
      <w:proofErr w:type="gramEnd"/>
      <w:r w:rsidRPr="009C3B63">
        <w:rPr>
          <w:szCs w:val="28"/>
        </w:rPr>
        <w:t xml:space="preserve">/д в течение 7 дней; </w:t>
      </w:r>
      <w:proofErr w:type="spellStart"/>
      <w:r w:rsidRPr="009C3B63">
        <w:rPr>
          <w:szCs w:val="28"/>
        </w:rPr>
        <w:t>Флуконазол</w:t>
      </w:r>
      <w:proofErr w:type="spellEnd"/>
      <w:r w:rsidRPr="009C3B63">
        <w:rPr>
          <w:szCs w:val="28"/>
        </w:rPr>
        <w:t xml:space="preserve"> 200 мг 1 р/д; </w:t>
      </w:r>
      <w:proofErr w:type="spellStart"/>
      <w:r w:rsidRPr="009C3B63">
        <w:rPr>
          <w:szCs w:val="28"/>
        </w:rPr>
        <w:t>Фосампренавир</w:t>
      </w:r>
      <w:proofErr w:type="spellEnd"/>
      <w:r w:rsidRPr="009C3B63">
        <w:rPr>
          <w:szCs w:val="28"/>
        </w:rPr>
        <w:t xml:space="preserve"> 700 мг/</w:t>
      </w:r>
      <w:proofErr w:type="spellStart"/>
      <w:r w:rsidRPr="009C3B63">
        <w:rPr>
          <w:szCs w:val="28"/>
        </w:rPr>
        <w:t>ритонавир</w:t>
      </w:r>
      <w:proofErr w:type="spellEnd"/>
      <w:r w:rsidRPr="009C3B63">
        <w:rPr>
          <w:szCs w:val="28"/>
        </w:rPr>
        <w:t xml:space="preserve"> 100 мг 2 р/д в течение 8 дней; </w:t>
      </w:r>
      <w:proofErr w:type="spellStart"/>
      <w:r w:rsidRPr="009C3B63">
        <w:rPr>
          <w:szCs w:val="28"/>
        </w:rPr>
        <w:t>Кетоконазол</w:t>
      </w:r>
      <w:proofErr w:type="spellEnd"/>
      <w:r w:rsidRPr="009C3B63">
        <w:rPr>
          <w:szCs w:val="28"/>
        </w:rPr>
        <w:t xml:space="preserve"> 200 мг 2 р/д в течение 7 дней; </w:t>
      </w:r>
      <w:proofErr w:type="spellStart"/>
      <w:r w:rsidRPr="009C3B63">
        <w:rPr>
          <w:szCs w:val="28"/>
        </w:rPr>
        <w:t>Рифампин</w:t>
      </w:r>
      <w:proofErr w:type="spellEnd"/>
      <w:r w:rsidRPr="009C3B63">
        <w:rPr>
          <w:szCs w:val="28"/>
        </w:rPr>
        <w:t xml:space="preserve"> 450 мг 1 р/д в течение 7 дней; </w:t>
      </w:r>
      <w:proofErr w:type="spellStart"/>
      <w:r w:rsidRPr="009C3B63">
        <w:rPr>
          <w:szCs w:val="28"/>
        </w:rPr>
        <w:t>Силимарин</w:t>
      </w:r>
      <w:proofErr w:type="spellEnd"/>
      <w:r w:rsidRPr="009C3B63">
        <w:rPr>
          <w:szCs w:val="28"/>
        </w:rPr>
        <w:t xml:space="preserve"> 140 мг 3 </w:t>
      </w:r>
      <w:proofErr w:type="gramStart"/>
      <w:r w:rsidRPr="009C3B63">
        <w:rPr>
          <w:szCs w:val="28"/>
        </w:rPr>
        <w:t>р</w:t>
      </w:r>
      <w:proofErr w:type="gramEnd"/>
      <w:r w:rsidRPr="009C3B63">
        <w:rPr>
          <w:szCs w:val="28"/>
        </w:rPr>
        <w:t>/д в течение 5 дней.</w:t>
      </w:r>
    </w:p>
    <w:p w:rsidR="00446554" w:rsidRPr="009C3B63" w:rsidRDefault="00446554" w:rsidP="009C3B63">
      <w:pPr>
        <w:jc w:val="both"/>
        <w:rPr>
          <w:rFonts w:eastAsia="Arial Unicode MS"/>
          <w:i/>
          <w:sz w:val="28"/>
          <w:szCs w:val="28"/>
        </w:rPr>
      </w:pPr>
    </w:p>
    <w:p w:rsidR="00B970F4" w:rsidRPr="009C3B63" w:rsidRDefault="00B970F4" w:rsidP="009C3B63">
      <w:pPr>
        <w:jc w:val="both"/>
        <w:rPr>
          <w:rFonts w:eastAsia="Arial Unicode MS"/>
          <w:sz w:val="28"/>
          <w:szCs w:val="28"/>
          <w:u w:val="single"/>
        </w:rPr>
      </w:pPr>
      <w:r w:rsidRPr="009C3B63">
        <w:rPr>
          <w:rFonts w:eastAsia="Arial Unicode MS"/>
          <w:sz w:val="28"/>
          <w:szCs w:val="28"/>
          <w:u w:val="single"/>
        </w:rPr>
        <w:t xml:space="preserve">Влияние </w:t>
      </w:r>
      <w:proofErr w:type="spellStart"/>
      <w:r w:rsidRPr="009C3B63">
        <w:rPr>
          <w:rFonts w:eastAsia="Arial Unicode MS"/>
          <w:sz w:val="28"/>
          <w:szCs w:val="28"/>
          <w:u w:val="single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  <w:u w:val="single"/>
        </w:rPr>
        <w:t xml:space="preserve"> на совместно применяемые лекарственные препараты</w:t>
      </w:r>
    </w:p>
    <w:p w:rsidR="00B970F4" w:rsidRPr="009C3B63" w:rsidRDefault="00B970F4" w:rsidP="009C3B63">
      <w:pPr>
        <w:jc w:val="both"/>
        <w:rPr>
          <w:rFonts w:eastAsia="Arial Unicode MS"/>
          <w:i/>
          <w:sz w:val="28"/>
          <w:szCs w:val="28"/>
        </w:rPr>
      </w:pPr>
      <w:r w:rsidRPr="009C3B63">
        <w:rPr>
          <w:rFonts w:eastAsia="Arial Unicode MS"/>
          <w:i/>
          <w:sz w:val="28"/>
          <w:szCs w:val="28"/>
        </w:rPr>
        <w:t>Антагонисты витамина К</w:t>
      </w:r>
    </w:p>
    <w:p w:rsidR="009420B7" w:rsidRPr="009C3B63" w:rsidRDefault="009420B7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>Так же</w:t>
      </w:r>
      <w:r w:rsidR="00A63A30">
        <w:rPr>
          <w:rFonts w:eastAsia="Arial Unicode MS"/>
          <w:sz w:val="28"/>
          <w:szCs w:val="28"/>
        </w:rPr>
        <w:t>,</w:t>
      </w:r>
      <w:r w:rsidRPr="009C3B63">
        <w:rPr>
          <w:rFonts w:eastAsia="Arial Unicode MS"/>
          <w:sz w:val="28"/>
          <w:szCs w:val="28"/>
        </w:rPr>
        <w:t xml:space="preserve"> как и в случае других ингибиторов ГМГ-</w:t>
      </w:r>
      <w:proofErr w:type="spellStart"/>
      <w:r w:rsidRPr="009C3B63">
        <w:rPr>
          <w:rFonts w:eastAsia="Arial Unicode MS"/>
          <w:sz w:val="28"/>
          <w:szCs w:val="28"/>
        </w:rPr>
        <w:t>КоА</w:t>
      </w:r>
      <w:proofErr w:type="spellEnd"/>
      <w:r w:rsidRPr="009C3B63">
        <w:rPr>
          <w:rFonts w:eastAsia="Arial Unicode MS"/>
          <w:sz w:val="28"/>
          <w:szCs w:val="28"/>
        </w:rPr>
        <w:t>-</w:t>
      </w:r>
      <w:proofErr w:type="spellStart"/>
      <w:r w:rsidRPr="009C3B63">
        <w:rPr>
          <w:rFonts w:eastAsia="Arial Unicode MS"/>
          <w:sz w:val="28"/>
          <w:szCs w:val="28"/>
        </w:rPr>
        <w:t>редуктазы</w:t>
      </w:r>
      <w:proofErr w:type="spellEnd"/>
      <w:r w:rsidRPr="009C3B63">
        <w:rPr>
          <w:rFonts w:eastAsia="Arial Unicode MS"/>
          <w:sz w:val="28"/>
          <w:szCs w:val="28"/>
        </w:rPr>
        <w:t xml:space="preserve">, начало терапии препаратом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Pr="009C3B63">
        <w:rPr>
          <w:rFonts w:eastAsia="Arial Unicode MS"/>
          <w:sz w:val="28"/>
          <w:szCs w:val="28"/>
        </w:rPr>
        <w:t xml:space="preserve"> или увеличение его дозы у пациентов, получающих одновременно антагонисты витамина К (например, </w:t>
      </w:r>
      <w:proofErr w:type="spellStart"/>
      <w:r w:rsidRPr="009C3B63">
        <w:rPr>
          <w:rFonts w:eastAsia="Arial Unicode MS"/>
          <w:sz w:val="28"/>
          <w:szCs w:val="28"/>
        </w:rPr>
        <w:t>варфарин</w:t>
      </w:r>
      <w:proofErr w:type="spellEnd"/>
      <w:r w:rsidRPr="009C3B63">
        <w:rPr>
          <w:rFonts w:eastAsia="Arial Unicode MS"/>
          <w:sz w:val="28"/>
          <w:szCs w:val="28"/>
        </w:rPr>
        <w:t xml:space="preserve"> или другой </w:t>
      </w:r>
      <w:r w:rsidR="00827E9F" w:rsidRPr="009C3B63">
        <w:rPr>
          <w:rFonts w:eastAsia="Arial Unicode MS"/>
          <w:sz w:val="28"/>
          <w:szCs w:val="28"/>
        </w:rPr>
        <w:t xml:space="preserve">антикоагулянт </w:t>
      </w:r>
      <w:proofErr w:type="spellStart"/>
      <w:r w:rsidR="00827E9F" w:rsidRPr="009C3B63">
        <w:rPr>
          <w:rFonts w:eastAsia="Arial Unicode MS"/>
          <w:sz w:val="28"/>
          <w:szCs w:val="28"/>
        </w:rPr>
        <w:t>кумаринового</w:t>
      </w:r>
      <w:proofErr w:type="spellEnd"/>
      <w:r w:rsidR="00827E9F" w:rsidRPr="009C3B63">
        <w:rPr>
          <w:rFonts w:eastAsia="Arial Unicode MS"/>
          <w:sz w:val="28"/>
          <w:szCs w:val="28"/>
        </w:rPr>
        <w:t xml:space="preserve"> ряда</w:t>
      </w:r>
      <w:r w:rsidRPr="009C3B63">
        <w:rPr>
          <w:rFonts w:eastAsia="Arial Unicode MS"/>
          <w:sz w:val="28"/>
          <w:szCs w:val="28"/>
        </w:rPr>
        <w:t xml:space="preserve">), может приводить к увеличению международного нормализованного отношения (МНО) </w:t>
      </w:r>
      <w:proofErr w:type="spellStart"/>
      <w:r w:rsidRPr="009C3B63">
        <w:rPr>
          <w:rFonts w:eastAsia="Arial Unicode MS"/>
          <w:sz w:val="28"/>
          <w:szCs w:val="28"/>
        </w:rPr>
        <w:t>протромбинового</w:t>
      </w:r>
      <w:proofErr w:type="spellEnd"/>
      <w:r w:rsidRPr="009C3B63">
        <w:rPr>
          <w:rFonts w:eastAsia="Arial Unicode MS"/>
          <w:sz w:val="28"/>
          <w:szCs w:val="28"/>
        </w:rPr>
        <w:t xml:space="preserve"> времени. Отмена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 xml:space="preserve"> или снижение дозы препарата может приводить к уменьшению МНО. В таких случаях рекомендуется  проводить мониторинг МНО.  </w:t>
      </w:r>
    </w:p>
    <w:p w:rsidR="00B970F4" w:rsidRPr="009C3B63" w:rsidRDefault="00B970F4" w:rsidP="009C3B63">
      <w:pPr>
        <w:jc w:val="both"/>
        <w:rPr>
          <w:rFonts w:eastAsia="Arial Unicode MS"/>
          <w:i/>
          <w:sz w:val="28"/>
          <w:szCs w:val="28"/>
        </w:rPr>
      </w:pPr>
      <w:r w:rsidRPr="009C3B63">
        <w:rPr>
          <w:rFonts w:eastAsia="Arial Unicode MS"/>
          <w:i/>
          <w:sz w:val="28"/>
          <w:szCs w:val="28"/>
        </w:rPr>
        <w:t>Пероральные контрацептивы/</w:t>
      </w:r>
      <w:proofErr w:type="spellStart"/>
      <w:r w:rsidRPr="009C3B63">
        <w:rPr>
          <w:rFonts w:eastAsia="Arial Unicode MS"/>
          <w:i/>
          <w:sz w:val="28"/>
          <w:szCs w:val="28"/>
        </w:rPr>
        <w:t>гормонозаместительная</w:t>
      </w:r>
      <w:proofErr w:type="spellEnd"/>
      <w:r w:rsidRPr="009C3B63">
        <w:rPr>
          <w:rFonts w:eastAsia="Arial Unicode MS"/>
          <w:i/>
          <w:sz w:val="28"/>
          <w:szCs w:val="28"/>
        </w:rPr>
        <w:t xml:space="preserve"> терапия</w:t>
      </w:r>
    </w:p>
    <w:p w:rsidR="00B970F4" w:rsidRPr="009C3B63" w:rsidRDefault="00B970F4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Одновременное применение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 xml:space="preserve"> и пероральных контрацептивов увеличивает AUC </w:t>
      </w:r>
      <w:proofErr w:type="spellStart"/>
      <w:r w:rsidRPr="009C3B63">
        <w:rPr>
          <w:rFonts w:eastAsia="Arial Unicode MS"/>
          <w:sz w:val="28"/>
          <w:szCs w:val="28"/>
        </w:rPr>
        <w:t>этинилэстрадиола</w:t>
      </w:r>
      <w:proofErr w:type="spellEnd"/>
      <w:r w:rsidRPr="009C3B63">
        <w:rPr>
          <w:rFonts w:eastAsia="Arial Unicode MS"/>
          <w:sz w:val="28"/>
          <w:szCs w:val="28"/>
        </w:rPr>
        <w:t xml:space="preserve"> и AUC </w:t>
      </w:r>
      <w:proofErr w:type="spellStart"/>
      <w:r w:rsidRPr="009C3B63">
        <w:rPr>
          <w:rFonts w:eastAsia="Arial Unicode MS"/>
          <w:sz w:val="28"/>
          <w:szCs w:val="28"/>
        </w:rPr>
        <w:t>норгестрила</w:t>
      </w:r>
      <w:proofErr w:type="spellEnd"/>
      <w:r w:rsidRPr="009C3B63">
        <w:rPr>
          <w:rFonts w:eastAsia="Arial Unicode MS"/>
          <w:sz w:val="28"/>
          <w:szCs w:val="28"/>
        </w:rPr>
        <w:t xml:space="preserve"> на 26% и 34%, соответственно. Такое увеличение плазменной концентрации должно учитываться при подборе дозы пероральных контрацептивов. </w:t>
      </w:r>
      <w:r w:rsidR="00684229" w:rsidRPr="009C3B63">
        <w:rPr>
          <w:rFonts w:eastAsia="Arial Unicode MS"/>
          <w:sz w:val="28"/>
          <w:szCs w:val="28"/>
        </w:rPr>
        <w:t>Имеются данные о том, что п</w:t>
      </w:r>
      <w:r w:rsidRPr="009C3B63">
        <w:rPr>
          <w:rFonts w:eastAsia="Arial Unicode MS"/>
          <w:sz w:val="28"/>
          <w:szCs w:val="28"/>
        </w:rPr>
        <w:t>одобная комбинация хорошо переносилась пациентами.</w:t>
      </w:r>
    </w:p>
    <w:p w:rsidR="00B970F4" w:rsidRPr="009C3B63" w:rsidRDefault="00B970F4" w:rsidP="009C3B63">
      <w:pPr>
        <w:jc w:val="both"/>
        <w:rPr>
          <w:rFonts w:eastAsia="Arial Unicode MS"/>
          <w:i/>
          <w:sz w:val="28"/>
          <w:szCs w:val="28"/>
        </w:rPr>
      </w:pPr>
      <w:proofErr w:type="spellStart"/>
      <w:r w:rsidRPr="009C3B63">
        <w:rPr>
          <w:rFonts w:eastAsia="Arial Unicode MS"/>
          <w:i/>
          <w:sz w:val="28"/>
          <w:szCs w:val="28"/>
        </w:rPr>
        <w:t>Дигоксин</w:t>
      </w:r>
      <w:proofErr w:type="spellEnd"/>
    </w:p>
    <w:p w:rsidR="00B970F4" w:rsidRPr="009C3B63" w:rsidRDefault="00B970F4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Не ожидается клинически значимого взаимодействия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 xml:space="preserve"> с </w:t>
      </w:r>
      <w:proofErr w:type="spellStart"/>
      <w:r w:rsidRPr="009C3B63">
        <w:rPr>
          <w:rFonts w:eastAsia="Arial Unicode MS"/>
          <w:sz w:val="28"/>
          <w:szCs w:val="28"/>
        </w:rPr>
        <w:t>дигоксином</w:t>
      </w:r>
      <w:proofErr w:type="spellEnd"/>
      <w:r w:rsidRPr="009C3B63">
        <w:rPr>
          <w:rFonts w:eastAsia="Arial Unicode MS"/>
          <w:sz w:val="28"/>
          <w:szCs w:val="28"/>
        </w:rPr>
        <w:t xml:space="preserve">. </w:t>
      </w:r>
    </w:p>
    <w:p w:rsidR="00B970F4" w:rsidRPr="009C3B63" w:rsidRDefault="00B970F4" w:rsidP="009C3B63">
      <w:pPr>
        <w:jc w:val="both"/>
        <w:rPr>
          <w:rFonts w:eastAsia="Arial Unicode MS"/>
          <w:i/>
          <w:sz w:val="28"/>
          <w:szCs w:val="28"/>
        </w:rPr>
      </w:pPr>
      <w:proofErr w:type="spellStart"/>
      <w:r w:rsidRPr="009C3B63">
        <w:rPr>
          <w:rFonts w:eastAsia="Arial Unicode MS"/>
          <w:i/>
          <w:sz w:val="28"/>
          <w:szCs w:val="28"/>
        </w:rPr>
        <w:t>Фу</w:t>
      </w:r>
      <w:r w:rsidR="006B4A3A" w:rsidRPr="009C3B63">
        <w:rPr>
          <w:rFonts w:eastAsia="Arial Unicode MS"/>
          <w:i/>
          <w:sz w:val="28"/>
          <w:szCs w:val="28"/>
        </w:rPr>
        <w:t>з</w:t>
      </w:r>
      <w:r w:rsidRPr="009C3B63">
        <w:rPr>
          <w:rFonts w:eastAsia="Arial Unicode MS"/>
          <w:i/>
          <w:sz w:val="28"/>
          <w:szCs w:val="28"/>
        </w:rPr>
        <w:t>идовая</w:t>
      </w:r>
      <w:proofErr w:type="spellEnd"/>
      <w:r w:rsidRPr="009C3B63">
        <w:rPr>
          <w:rFonts w:eastAsia="Arial Unicode MS"/>
          <w:i/>
          <w:sz w:val="28"/>
          <w:szCs w:val="28"/>
        </w:rPr>
        <w:t xml:space="preserve"> кислота</w:t>
      </w:r>
    </w:p>
    <w:p w:rsidR="00B970F4" w:rsidRPr="009C3B63" w:rsidRDefault="00E06ED4" w:rsidP="009C3B63">
      <w:pPr>
        <w:jc w:val="both"/>
        <w:rPr>
          <w:rFonts w:eastAsia="Arial Unicode MS"/>
          <w:sz w:val="28"/>
          <w:szCs w:val="28"/>
        </w:rPr>
      </w:pPr>
      <w:proofErr w:type="gramStart"/>
      <w:r w:rsidRPr="009C3B63">
        <w:rPr>
          <w:rFonts w:eastAsia="Arial Unicode MS"/>
          <w:sz w:val="28"/>
          <w:szCs w:val="28"/>
        </w:rPr>
        <w:t>Нет</w:t>
      </w:r>
      <w:proofErr w:type="gramEnd"/>
      <w:r w:rsidRPr="009C3B63">
        <w:rPr>
          <w:rFonts w:eastAsia="Arial Unicode MS"/>
          <w:sz w:val="28"/>
          <w:szCs w:val="28"/>
        </w:rPr>
        <w:t xml:space="preserve"> данных </w:t>
      </w:r>
      <w:r w:rsidR="00B970F4" w:rsidRPr="009C3B63">
        <w:rPr>
          <w:rFonts w:eastAsia="Arial Unicode MS"/>
          <w:sz w:val="28"/>
          <w:szCs w:val="28"/>
        </w:rPr>
        <w:t xml:space="preserve">взаимодействия между </w:t>
      </w:r>
      <w:proofErr w:type="spellStart"/>
      <w:r w:rsidR="00B970F4" w:rsidRPr="009C3B63">
        <w:rPr>
          <w:rFonts w:eastAsia="Arial Unicode MS"/>
          <w:sz w:val="28"/>
          <w:szCs w:val="28"/>
        </w:rPr>
        <w:t>розувастатином</w:t>
      </w:r>
      <w:proofErr w:type="spellEnd"/>
      <w:r w:rsidR="00B970F4" w:rsidRPr="009C3B63">
        <w:rPr>
          <w:rFonts w:eastAsia="Arial Unicode MS"/>
          <w:sz w:val="28"/>
          <w:szCs w:val="28"/>
        </w:rPr>
        <w:t xml:space="preserve"> и </w:t>
      </w:r>
      <w:proofErr w:type="spellStart"/>
      <w:r w:rsidR="00B970F4" w:rsidRPr="009C3B63">
        <w:rPr>
          <w:rFonts w:eastAsia="Arial Unicode MS"/>
          <w:sz w:val="28"/>
          <w:szCs w:val="28"/>
        </w:rPr>
        <w:t>фу</w:t>
      </w:r>
      <w:r w:rsidR="006B4A3A" w:rsidRPr="009C3B63">
        <w:rPr>
          <w:rFonts w:eastAsia="Arial Unicode MS"/>
          <w:sz w:val="28"/>
          <w:szCs w:val="28"/>
        </w:rPr>
        <w:t>з</w:t>
      </w:r>
      <w:r w:rsidR="00B970F4" w:rsidRPr="009C3B63">
        <w:rPr>
          <w:rFonts w:eastAsia="Arial Unicode MS"/>
          <w:sz w:val="28"/>
          <w:szCs w:val="28"/>
        </w:rPr>
        <w:t>идовой</w:t>
      </w:r>
      <w:proofErr w:type="spellEnd"/>
      <w:r w:rsidR="00B970F4" w:rsidRPr="009C3B63">
        <w:rPr>
          <w:rFonts w:eastAsia="Arial Unicode MS"/>
          <w:sz w:val="28"/>
          <w:szCs w:val="28"/>
        </w:rPr>
        <w:t xml:space="preserve"> кислотой. Риск миопатии, включая </w:t>
      </w:r>
      <w:proofErr w:type="spellStart"/>
      <w:r w:rsidR="00B970F4" w:rsidRPr="009C3B63">
        <w:rPr>
          <w:rFonts w:eastAsia="Arial Unicode MS"/>
          <w:sz w:val="28"/>
          <w:szCs w:val="28"/>
        </w:rPr>
        <w:t>рабдомиолиз</w:t>
      </w:r>
      <w:proofErr w:type="spellEnd"/>
      <w:r w:rsidR="00B970F4" w:rsidRPr="009C3B63">
        <w:rPr>
          <w:rFonts w:eastAsia="Arial Unicode MS"/>
          <w:sz w:val="28"/>
          <w:szCs w:val="28"/>
        </w:rPr>
        <w:t xml:space="preserve">, может быть увеличен при одновременном приеме препаратов </w:t>
      </w:r>
      <w:proofErr w:type="spellStart"/>
      <w:r w:rsidR="00B970F4" w:rsidRPr="009C3B63">
        <w:rPr>
          <w:rFonts w:eastAsia="Arial Unicode MS"/>
          <w:sz w:val="28"/>
          <w:szCs w:val="28"/>
        </w:rPr>
        <w:t>фу</w:t>
      </w:r>
      <w:r w:rsidR="006B4A3A" w:rsidRPr="009C3B63">
        <w:rPr>
          <w:rFonts w:eastAsia="Arial Unicode MS"/>
          <w:sz w:val="28"/>
          <w:szCs w:val="28"/>
        </w:rPr>
        <w:t>з</w:t>
      </w:r>
      <w:r w:rsidR="00B970F4" w:rsidRPr="009C3B63">
        <w:rPr>
          <w:rFonts w:eastAsia="Arial Unicode MS"/>
          <w:sz w:val="28"/>
          <w:szCs w:val="28"/>
        </w:rPr>
        <w:t>идовой</w:t>
      </w:r>
      <w:proofErr w:type="spellEnd"/>
      <w:r w:rsidR="00B970F4" w:rsidRPr="009C3B63">
        <w:rPr>
          <w:rFonts w:eastAsia="Arial Unicode MS"/>
          <w:sz w:val="28"/>
          <w:szCs w:val="28"/>
        </w:rPr>
        <w:t xml:space="preserve"> кислоты  системного действия со </w:t>
      </w:r>
      <w:proofErr w:type="spellStart"/>
      <w:r w:rsidR="00B970F4" w:rsidRPr="009C3B63">
        <w:rPr>
          <w:rFonts w:eastAsia="Arial Unicode MS"/>
          <w:sz w:val="28"/>
          <w:szCs w:val="28"/>
        </w:rPr>
        <w:t>статинами</w:t>
      </w:r>
      <w:proofErr w:type="spellEnd"/>
      <w:r w:rsidR="00B970F4" w:rsidRPr="009C3B63">
        <w:rPr>
          <w:rFonts w:eastAsia="Arial Unicode MS"/>
          <w:sz w:val="28"/>
          <w:szCs w:val="28"/>
        </w:rPr>
        <w:t xml:space="preserve">. Механизм данного взаимодействия (фармакодинамический, или фармакокинетический, или оба) на текущий момент неизвестен. Были зафиксированы сообщения о </w:t>
      </w:r>
      <w:proofErr w:type="spellStart"/>
      <w:r w:rsidR="00B970F4" w:rsidRPr="009C3B63">
        <w:rPr>
          <w:rFonts w:eastAsia="Arial Unicode MS"/>
          <w:sz w:val="28"/>
          <w:szCs w:val="28"/>
        </w:rPr>
        <w:t>рабдомиолизе</w:t>
      </w:r>
      <w:proofErr w:type="spellEnd"/>
      <w:r w:rsidR="00B970F4" w:rsidRPr="009C3B63">
        <w:rPr>
          <w:rFonts w:eastAsia="Arial Unicode MS"/>
          <w:sz w:val="28"/>
          <w:szCs w:val="28"/>
        </w:rPr>
        <w:t xml:space="preserve"> (включая несколько случаев с летальным исходом) у пациентов, принимавших данную комбинацию.</w:t>
      </w:r>
    </w:p>
    <w:p w:rsidR="006A6C82" w:rsidRPr="009C3B63" w:rsidRDefault="00B970F4" w:rsidP="009C3B63">
      <w:pPr>
        <w:jc w:val="both"/>
        <w:rPr>
          <w:b/>
          <w:i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Если требуется лечение </w:t>
      </w:r>
      <w:proofErr w:type="spellStart"/>
      <w:r w:rsidRPr="009C3B63">
        <w:rPr>
          <w:rFonts w:eastAsia="Arial Unicode MS"/>
          <w:sz w:val="28"/>
          <w:szCs w:val="28"/>
        </w:rPr>
        <w:t>фу</w:t>
      </w:r>
      <w:r w:rsidR="006B4A3A" w:rsidRPr="009C3B63">
        <w:rPr>
          <w:rFonts w:eastAsia="Arial Unicode MS"/>
          <w:sz w:val="28"/>
          <w:szCs w:val="28"/>
        </w:rPr>
        <w:t>з</w:t>
      </w:r>
      <w:r w:rsidRPr="009C3B63">
        <w:rPr>
          <w:rFonts w:eastAsia="Arial Unicode MS"/>
          <w:sz w:val="28"/>
          <w:szCs w:val="28"/>
        </w:rPr>
        <w:t>идовой</w:t>
      </w:r>
      <w:proofErr w:type="spellEnd"/>
      <w:r w:rsidRPr="009C3B63">
        <w:rPr>
          <w:rFonts w:eastAsia="Arial Unicode MS"/>
          <w:sz w:val="28"/>
          <w:szCs w:val="28"/>
        </w:rPr>
        <w:t xml:space="preserve"> кислотой системного действия, лечение</w:t>
      </w:r>
      <w:r w:rsidR="00A63A30">
        <w:rPr>
          <w:rFonts w:eastAsia="Arial Unicode MS"/>
          <w:sz w:val="28"/>
          <w:szCs w:val="28"/>
        </w:rPr>
        <w:t xml:space="preserve"> </w:t>
      </w:r>
      <w:r w:rsidR="00D67AAC" w:rsidRPr="009C3B63">
        <w:rPr>
          <w:rFonts w:eastAsia="Arial Unicode MS"/>
          <w:sz w:val="28"/>
          <w:szCs w:val="28"/>
        </w:rPr>
        <w:t xml:space="preserve">препаратом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="00A63A30">
        <w:rPr>
          <w:bCs/>
          <w:caps/>
          <w:sz w:val="24"/>
          <w:szCs w:val="24"/>
        </w:rPr>
        <w:t xml:space="preserve"> </w:t>
      </w:r>
      <w:r w:rsidR="00D67AAC" w:rsidRPr="009C3B63">
        <w:rPr>
          <w:rFonts w:eastAsia="Arial Unicode MS"/>
          <w:sz w:val="28"/>
          <w:szCs w:val="28"/>
        </w:rPr>
        <w:t xml:space="preserve">должно быть прервано на время терапии </w:t>
      </w:r>
      <w:proofErr w:type="spellStart"/>
      <w:r w:rsidR="00D67AAC" w:rsidRPr="009C3B63">
        <w:rPr>
          <w:rFonts w:eastAsia="Arial Unicode MS"/>
          <w:sz w:val="28"/>
          <w:szCs w:val="28"/>
        </w:rPr>
        <w:t>фу</w:t>
      </w:r>
      <w:r w:rsidR="006B4A3A" w:rsidRPr="009C3B63">
        <w:rPr>
          <w:rFonts w:eastAsia="Arial Unicode MS"/>
          <w:sz w:val="28"/>
          <w:szCs w:val="28"/>
        </w:rPr>
        <w:t>з</w:t>
      </w:r>
      <w:r w:rsidR="00D67AAC" w:rsidRPr="009C3B63">
        <w:rPr>
          <w:rFonts w:eastAsia="Arial Unicode MS"/>
          <w:sz w:val="28"/>
          <w:szCs w:val="28"/>
        </w:rPr>
        <w:t>идовой</w:t>
      </w:r>
      <w:proofErr w:type="spellEnd"/>
      <w:r w:rsidR="00D67AAC" w:rsidRPr="009C3B63">
        <w:rPr>
          <w:rFonts w:eastAsia="Arial Unicode MS"/>
          <w:sz w:val="28"/>
          <w:szCs w:val="28"/>
        </w:rPr>
        <w:t xml:space="preserve"> кислотой.</w:t>
      </w:r>
    </w:p>
    <w:p w:rsidR="003D0717" w:rsidRPr="009C3B63" w:rsidRDefault="003D0717" w:rsidP="009C3B63">
      <w:pPr>
        <w:jc w:val="both"/>
        <w:rPr>
          <w:b/>
          <w:i/>
          <w:sz w:val="28"/>
          <w:szCs w:val="28"/>
        </w:rPr>
      </w:pPr>
      <w:r w:rsidRPr="009C3B63">
        <w:rPr>
          <w:b/>
          <w:i/>
          <w:sz w:val="28"/>
          <w:szCs w:val="28"/>
        </w:rPr>
        <w:t>Специальные предупреждения</w:t>
      </w:r>
    </w:p>
    <w:p w:rsidR="00C26159" w:rsidRPr="009C3B63" w:rsidRDefault="00C26159" w:rsidP="009C3B63">
      <w:pPr>
        <w:pStyle w:val="ConsPlusNormal"/>
        <w:jc w:val="both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9C3B63">
        <w:rPr>
          <w:rFonts w:ascii="Times New Roman" w:hAnsi="Times New Roman" w:cs="Times New Roman"/>
          <w:i/>
          <w:sz w:val="28"/>
          <w:szCs w:val="28"/>
        </w:rPr>
        <w:t>Воздействие на функцию почек</w:t>
      </w:r>
    </w:p>
    <w:p w:rsidR="00C26159" w:rsidRPr="009C3B63" w:rsidRDefault="00C26159" w:rsidP="009C3B63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C3B63">
        <w:rPr>
          <w:rFonts w:ascii="Times New Roman" w:hAnsi="Times New Roman" w:cs="Times New Roman"/>
          <w:sz w:val="28"/>
          <w:szCs w:val="28"/>
        </w:rPr>
        <w:t xml:space="preserve">Протеинурия, определяемая при помощи </w:t>
      </w:r>
      <w:proofErr w:type="gramStart"/>
      <w:r w:rsidRPr="009C3B63">
        <w:rPr>
          <w:rFonts w:ascii="Times New Roman" w:hAnsi="Times New Roman" w:cs="Times New Roman"/>
          <w:sz w:val="28"/>
          <w:szCs w:val="28"/>
        </w:rPr>
        <w:t>тест-полосок</w:t>
      </w:r>
      <w:proofErr w:type="gramEnd"/>
      <w:r w:rsidRPr="009C3B63">
        <w:rPr>
          <w:rFonts w:ascii="Times New Roman" w:hAnsi="Times New Roman" w:cs="Times New Roman"/>
          <w:sz w:val="28"/>
          <w:szCs w:val="28"/>
        </w:rPr>
        <w:t xml:space="preserve">, чаще всего тубулярная, наблюдалась у пациентов, получавших повышенные дозы препарата </w:t>
      </w:r>
      <w:r w:rsidR="00076A28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076A28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9C3B63">
        <w:rPr>
          <w:rFonts w:ascii="Times New Roman" w:hAnsi="Times New Roman" w:cs="Times New Roman"/>
          <w:sz w:val="28"/>
          <w:szCs w:val="28"/>
        </w:rPr>
        <w:t xml:space="preserve">, в частности в дозе 40 мг, однако в большинстве случаев она носила временный или </w:t>
      </w:r>
      <w:r w:rsidR="004F7F98" w:rsidRPr="009C3B63">
        <w:rPr>
          <w:rFonts w:ascii="Times New Roman" w:hAnsi="Times New Roman" w:cs="Times New Roman"/>
          <w:sz w:val="28"/>
          <w:szCs w:val="28"/>
        </w:rPr>
        <w:t xml:space="preserve">преходящий </w:t>
      </w:r>
      <w:r w:rsidRPr="009C3B63">
        <w:rPr>
          <w:rFonts w:ascii="Times New Roman" w:hAnsi="Times New Roman" w:cs="Times New Roman"/>
          <w:sz w:val="28"/>
          <w:szCs w:val="28"/>
        </w:rPr>
        <w:t>характер.</w:t>
      </w:r>
    </w:p>
    <w:p w:rsidR="00C26159" w:rsidRPr="009C3B63" w:rsidRDefault="00C26159" w:rsidP="009C3B63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C3B63">
        <w:rPr>
          <w:rFonts w:ascii="Times New Roman" w:hAnsi="Times New Roman" w:cs="Times New Roman"/>
          <w:sz w:val="28"/>
          <w:szCs w:val="28"/>
        </w:rPr>
        <w:t xml:space="preserve">Протеинурия не является прогностическим фактором острого или </w:t>
      </w:r>
      <w:r w:rsidRPr="009C3B63">
        <w:rPr>
          <w:rFonts w:ascii="Times New Roman" w:hAnsi="Times New Roman" w:cs="Times New Roman"/>
          <w:sz w:val="28"/>
          <w:szCs w:val="28"/>
        </w:rPr>
        <w:lastRenderedPageBreak/>
        <w:t>прогрессирующего заболевания почек. Коэффициент случаев серьезных заболеваний почек в пострегистрационный период выше при дозе применения, равной 40 мг. У пациентов, получающих препарат в дозировке 40 мг, должна проводиться оценка функции почек.</w:t>
      </w:r>
    </w:p>
    <w:p w:rsidR="00C26159" w:rsidRPr="009C3B63" w:rsidRDefault="00C26159" w:rsidP="009C3B63">
      <w:pPr>
        <w:pStyle w:val="ConsPlusNormal"/>
        <w:jc w:val="both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9C3B63">
        <w:rPr>
          <w:rFonts w:ascii="Times New Roman" w:hAnsi="Times New Roman" w:cs="Times New Roman"/>
          <w:i/>
          <w:sz w:val="28"/>
          <w:szCs w:val="28"/>
        </w:rPr>
        <w:t>Воздействие на скелетные мышцы</w:t>
      </w:r>
    </w:p>
    <w:p w:rsidR="00C26159" w:rsidRPr="009C3B63" w:rsidRDefault="00C26159" w:rsidP="009C3B63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C3B63">
        <w:rPr>
          <w:rFonts w:ascii="Times New Roman" w:hAnsi="Times New Roman" w:cs="Times New Roman"/>
          <w:sz w:val="28"/>
          <w:szCs w:val="28"/>
        </w:rPr>
        <w:t xml:space="preserve">Сообщалось о воздействии на мышцы скелета, в т. ч. миалгия, миопатия (включая миозит) и, в редких случаях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рабдомиолиз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 с острой почечной недостаточностью или без нее у пациентов, получавших лечение препаратом </w:t>
      </w:r>
      <w:r w:rsidR="00076A28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076A28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9C3B63">
        <w:rPr>
          <w:rFonts w:ascii="Times New Roman" w:hAnsi="Times New Roman" w:cs="Times New Roman"/>
          <w:sz w:val="28"/>
          <w:szCs w:val="28"/>
        </w:rPr>
        <w:t xml:space="preserve">, во всех дозировках особенно при дозировках &gt; 20 мг. Имеются сообщения об очень редких случаях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рабдомиолиза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 при приеме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эзетимиба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 в комбинации с ингибиторами ГМГ–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КоА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редуктазы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. Нельзя исключать фармакодинамическое взаимодействие </w:t>
      </w:r>
      <w:r w:rsidR="004F7F98" w:rsidRPr="009C3B63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9C3B63">
        <w:rPr>
          <w:rFonts w:ascii="Times New Roman" w:hAnsi="Times New Roman" w:cs="Times New Roman"/>
          <w:sz w:val="28"/>
          <w:szCs w:val="28"/>
        </w:rPr>
        <w:t>групп препаратов, и следует уделять особое внимание при их совместном применении. Как и у других ингибиторов ГМГ–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КоА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редуктазы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>, коэффициент случа</w:t>
      </w:r>
      <w:r w:rsidR="00A63A30">
        <w:rPr>
          <w:rFonts w:ascii="Times New Roman" w:hAnsi="Times New Roman" w:cs="Times New Roman"/>
          <w:sz w:val="28"/>
          <w:szCs w:val="28"/>
        </w:rPr>
        <w:t>е</w:t>
      </w:r>
      <w:r w:rsidRPr="009C3B6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рабдомиолиза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 на фоне приема препарата </w:t>
      </w:r>
      <w:r w:rsidR="00706B95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706B95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706B95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9C3B63">
        <w:rPr>
          <w:rFonts w:ascii="Times New Roman" w:hAnsi="Times New Roman" w:cs="Times New Roman"/>
          <w:sz w:val="28"/>
          <w:szCs w:val="28"/>
        </w:rPr>
        <w:t xml:space="preserve"> в пострегистрационный период выше при дозе применения, равной 40 мг.</w:t>
      </w:r>
    </w:p>
    <w:p w:rsidR="00C26159" w:rsidRPr="009C3B63" w:rsidRDefault="00C26159" w:rsidP="009C3B63">
      <w:pPr>
        <w:pStyle w:val="ConsPlusNormal"/>
        <w:jc w:val="both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9C3B63">
        <w:rPr>
          <w:rFonts w:ascii="Times New Roman" w:hAnsi="Times New Roman" w:cs="Times New Roman"/>
          <w:i/>
          <w:sz w:val="28"/>
          <w:szCs w:val="28"/>
        </w:rPr>
        <w:t xml:space="preserve">Определение </w:t>
      </w:r>
      <w:proofErr w:type="spellStart"/>
      <w:r w:rsidRPr="009C3B63">
        <w:rPr>
          <w:rFonts w:ascii="Times New Roman" w:hAnsi="Times New Roman" w:cs="Times New Roman"/>
          <w:i/>
          <w:sz w:val="28"/>
          <w:szCs w:val="28"/>
        </w:rPr>
        <w:t>креатининкиназы</w:t>
      </w:r>
      <w:proofErr w:type="spellEnd"/>
    </w:p>
    <w:p w:rsidR="00C26159" w:rsidRPr="009C3B63" w:rsidRDefault="00C26159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>КК не следует измерять после интенсивных физических нагрузок или при наличии других возможных причин увеличения КК, которые могут привести к неверной интерпретации полученных результатов. В случае если исходный уровень КК существенно повышен (в 5 раз выше, чем верхняя граница нормы) через 5– 7 дней, следует провести повторное измерение. Не следует начинать терапию, если повторный тест подтверждает исходный уровень КК (выше более чем в 5 раз по сравнению с верхней границей нормы).</w:t>
      </w:r>
    </w:p>
    <w:p w:rsidR="00C26159" w:rsidRPr="009C3B63" w:rsidRDefault="00C26159" w:rsidP="009C3B63">
      <w:pPr>
        <w:pStyle w:val="a3"/>
        <w:ind w:right="-1"/>
        <w:rPr>
          <w:szCs w:val="28"/>
        </w:rPr>
      </w:pPr>
      <w:r w:rsidRPr="009C3B63">
        <w:rPr>
          <w:i/>
          <w:szCs w:val="28"/>
        </w:rPr>
        <w:t>С осторожностью</w:t>
      </w:r>
      <w:r w:rsidRPr="009C3B63">
        <w:rPr>
          <w:szCs w:val="28"/>
        </w:rPr>
        <w:t xml:space="preserve"> препарат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Pr="009C3B63">
        <w:rPr>
          <w:szCs w:val="28"/>
        </w:rPr>
        <w:t>, как и другие ингибиторы ГМГ–</w:t>
      </w:r>
      <w:proofErr w:type="spellStart"/>
      <w:r w:rsidRPr="009C3B63">
        <w:rPr>
          <w:szCs w:val="28"/>
        </w:rPr>
        <w:t>КоА</w:t>
      </w:r>
      <w:proofErr w:type="spellEnd"/>
      <w:r w:rsidRPr="009C3B63">
        <w:rPr>
          <w:szCs w:val="28"/>
        </w:rPr>
        <w:t xml:space="preserve"> – </w:t>
      </w:r>
      <w:proofErr w:type="spellStart"/>
      <w:r w:rsidRPr="009C3B63">
        <w:rPr>
          <w:szCs w:val="28"/>
        </w:rPr>
        <w:t>редуктазы</w:t>
      </w:r>
      <w:proofErr w:type="spellEnd"/>
      <w:r w:rsidRPr="009C3B63">
        <w:rPr>
          <w:szCs w:val="28"/>
        </w:rPr>
        <w:t>, должен назначаться пациентам с предрасположенностью к миопатии/</w:t>
      </w:r>
      <w:proofErr w:type="spellStart"/>
      <w:r w:rsidRPr="009C3B63">
        <w:rPr>
          <w:szCs w:val="28"/>
        </w:rPr>
        <w:t>рабдомиолизу</w:t>
      </w:r>
      <w:proofErr w:type="spellEnd"/>
      <w:r w:rsidRPr="009C3B63">
        <w:rPr>
          <w:szCs w:val="28"/>
        </w:rPr>
        <w:t xml:space="preserve">. Предрасполагающими факторами являются такие нарушения как нарушение функции почек, гипотиреоз, индивидуальная или </w:t>
      </w:r>
      <w:r w:rsidR="00502229" w:rsidRPr="009C3B63">
        <w:rPr>
          <w:szCs w:val="28"/>
        </w:rPr>
        <w:t xml:space="preserve">генетическая </w:t>
      </w:r>
      <w:r w:rsidRPr="009C3B63">
        <w:rPr>
          <w:szCs w:val="28"/>
        </w:rPr>
        <w:t>предрасположенность к врожденным мышечным расстройствам, наличие в анамнезе мышечной токсичности при использовании других ингибиторов ГМГ–</w:t>
      </w:r>
      <w:proofErr w:type="spellStart"/>
      <w:r w:rsidRPr="009C3B63">
        <w:rPr>
          <w:szCs w:val="28"/>
        </w:rPr>
        <w:t>КоА</w:t>
      </w:r>
      <w:proofErr w:type="spellEnd"/>
      <w:r w:rsidRPr="009C3B63">
        <w:rPr>
          <w:szCs w:val="28"/>
        </w:rPr>
        <w:t xml:space="preserve"> – </w:t>
      </w:r>
      <w:proofErr w:type="spellStart"/>
      <w:r w:rsidRPr="009C3B63">
        <w:rPr>
          <w:szCs w:val="28"/>
        </w:rPr>
        <w:t>редуктазы</w:t>
      </w:r>
      <w:proofErr w:type="spellEnd"/>
      <w:r w:rsidRPr="009C3B63">
        <w:rPr>
          <w:szCs w:val="28"/>
        </w:rPr>
        <w:t xml:space="preserve"> или </w:t>
      </w:r>
      <w:proofErr w:type="spellStart"/>
      <w:r w:rsidRPr="009C3B63">
        <w:rPr>
          <w:szCs w:val="28"/>
        </w:rPr>
        <w:t>фибратов</w:t>
      </w:r>
      <w:proofErr w:type="spellEnd"/>
      <w:r w:rsidRPr="009C3B63">
        <w:rPr>
          <w:szCs w:val="28"/>
        </w:rPr>
        <w:t xml:space="preserve">, употребление алкоголя, возраст &gt; 70 лет, состояния, которые могут приводить к повышению плазменной концентрации </w:t>
      </w:r>
      <w:proofErr w:type="spellStart"/>
      <w:r w:rsidRPr="009C3B63">
        <w:rPr>
          <w:szCs w:val="28"/>
        </w:rPr>
        <w:t>розувастатина</w:t>
      </w:r>
      <w:proofErr w:type="spellEnd"/>
      <w:r w:rsidRPr="009C3B63">
        <w:rPr>
          <w:szCs w:val="28"/>
        </w:rPr>
        <w:t xml:space="preserve">, сопутствующее применение </w:t>
      </w:r>
      <w:proofErr w:type="spellStart"/>
      <w:r w:rsidRPr="009C3B63">
        <w:rPr>
          <w:szCs w:val="28"/>
        </w:rPr>
        <w:t>фибратов</w:t>
      </w:r>
      <w:proofErr w:type="spellEnd"/>
      <w:r w:rsidRPr="009C3B63">
        <w:rPr>
          <w:szCs w:val="28"/>
        </w:rPr>
        <w:t>.</w:t>
      </w:r>
    </w:p>
    <w:p w:rsidR="003875D9" w:rsidRPr="009C3B63" w:rsidRDefault="00C26159" w:rsidP="009C3B63">
      <w:pPr>
        <w:ind w:right="-1"/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У таких пациентов терапию препаратом следует рассматривать на основании оценки пользы и риска, рекомендуется проводить клинический мониторинг. Если </w:t>
      </w:r>
      <w:r w:rsidR="00502229" w:rsidRPr="009C3B63">
        <w:rPr>
          <w:sz w:val="28"/>
          <w:szCs w:val="28"/>
        </w:rPr>
        <w:t xml:space="preserve">значения </w:t>
      </w:r>
      <w:r w:rsidRPr="009C3B63">
        <w:rPr>
          <w:sz w:val="28"/>
          <w:szCs w:val="28"/>
        </w:rPr>
        <w:t>КК существенно повышены на исходном уровне в 5 раз выше, чем верхняя граница нормы, лечение начинать не следует.</w:t>
      </w:r>
    </w:p>
    <w:p w:rsidR="00C26159" w:rsidRPr="009C3B63" w:rsidRDefault="00C26159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Следует проинформировать пациента о необходимости немедленного обращения к врачу в случаях неожиданного появления мышечных болей, мышечной слабости или спазмах, особенно в сочетании с недомоганием и лихорадкой. У таких пациентов следует проводить мониторинг уровня КК. </w:t>
      </w:r>
      <w:r w:rsidRPr="009C3B63">
        <w:rPr>
          <w:rFonts w:eastAsia="Arial Unicode MS"/>
          <w:sz w:val="28"/>
          <w:szCs w:val="28"/>
        </w:rPr>
        <w:lastRenderedPageBreak/>
        <w:t xml:space="preserve">Терапия должна быть прекращена, если уровень КК значительно увеличен (более чем в 5 раз по сравнению с верхней границей нормы) или если симптомы со стороны мышц резко выражены и вызывают ежедневный дискомфорт (даже, если уровень КФК в 5 раз меньше по сравнению с верхней границей нормы). Если симптомы </w:t>
      </w:r>
      <w:proofErr w:type="gramStart"/>
      <w:r w:rsidRPr="009C3B63">
        <w:rPr>
          <w:rFonts w:eastAsia="Arial Unicode MS"/>
          <w:sz w:val="28"/>
          <w:szCs w:val="28"/>
        </w:rPr>
        <w:t>исчезают</w:t>
      </w:r>
      <w:proofErr w:type="gramEnd"/>
      <w:r w:rsidRPr="009C3B63">
        <w:rPr>
          <w:rFonts w:eastAsia="Arial Unicode MS"/>
          <w:sz w:val="28"/>
          <w:szCs w:val="28"/>
        </w:rPr>
        <w:t xml:space="preserve"> и уровень КК возвращается к норме, следует рассмотреть вопрос о повторном назначении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="00A63A30">
        <w:rPr>
          <w:bCs/>
          <w:caps/>
          <w:sz w:val="24"/>
          <w:szCs w:val="24"/>
        </w:rPr>
        <w:t xml:space="preserve"> </w:t>
      </w:r>
      <w:r w:rsidRPr="009C3B63">
        <w:rPr>
          <w:rFonts w:eastAsia="Arial Unicode MS"/>
          <w:sz w:val="28"/>
          <w:szCs w:val="28"/>
        </w:rPr>
        <w:t>или других ингибиторов ГМГ-</w:t>
      </w:r>
      <w:proofErr w:type="spellStart"/>
      <w:r w:rsidRPr="009C3B63">
        <w:rPr>
          <w:rFonts w:eastAsia="Arial Unicode MS"/>
          <w:sz w:val="28"/>
          <w:szCs w:val="28"/>
        </w:rPr>
        <w:t>КоА</w:t>
      </w:r>
      <w:proofErr w:type="spellEnd"/>
      <w:r w:rsidRPr="009C3B63">
        <w:rPr>
          <w:rFonts w:eastAsia="Arial Unicode MS"/>
          <w:sz w:val="28"/>
          <w:szCs w:val="28"/>
        </w:rPr>
        <w:t>-</w:t>
      </w:r>
      <w:proofErr w:type="spellStart"/>
      <w:r w:rsidRPr="009C3B63">
        <w:rPr>
          <w:rFonts w:eastAsia="Arial Unicode MS"/>
          <w:sz w:val="28"/>
          <w:szCs w:val="28"/>
        </w:rPr>
        <w:t>редуктазы</w:t>
      </w:r>
      <w:proofErr w:type="spellEnd"/>
      <w:r w:rsidRPr="009C3B63">
        <w:rPr>
          <w:rFonts w:eastAsia="Arial Unicode MS"/>
          <w:sz w:val="28"/>
          <w:szCs w:val="28"/>
        </w:rPr>
        <w:t xml:space="preserve"> в меньших дозах и при тщательном наблюдении за пациентом. Рутинный контроль уровня КК при отсутствии симптомов не целесообразен.</w:t>
      </w:r>
    </w:p>
    <w:p w:rsidR="00C26159" w:rsidRPr="009C3B63" w:rsidRDefault="00C26159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Отмечены очень редкие случаи </w:t>
      </w:r>
      <w:proofErr w:type="spellStart"/>
      <w:r w:rsidRPr="009C3B63">
        <w:rPr>
          <w:rFonts w:eastAsia="Arial Unicode MS"/>
          <w:sz w:val="28"/>
          <w:szCs w:val="28"/>
        </w:rPr>
        <w:t>иммуноопосредованной</w:t>
      </w:r>
      <w:proofErr w:type="spellEnd"/>
      <w:r w:rsidR="00A63A30">
        <w:rPr>
          <w:rFonts w:eastAsia="Arial Unicode MS"/>
          <w:sz w:val="28"/>
          <w:szCs w:val="28"/>
        </w:rPr>
        <w:t xml:space="preserve"> </w:t>
      </w:r>
      <w:proofErr w:type="spellStart"/>
      <w:r w:rsidRPr="009C3B63">
        <w:rPr>
          <w:rFonts w:eastAsia="Arial Unicode MS"/>
          <w:sz w:val="28"/>
          <w:szCs w:val="28"/>
        </w:rPr>
        <w:t>некротизирующей</w:t>
      </w:r>
      <w:proofErr w:type="spellEnd"/>
      <w:r w:rsidRPr="009C3B63">
        <w:rPr>
          <w:rFonts w:eastAsia="Arial Unicode MS"/>
          <w:sz w:val="28"/>
          <w:szCs w:val="28"/>
        </w:rPr>
        <w:t xml:space="preserve"> миопатии с клиническими проявлениями в виде стойкой слабости проксимальных мышц и повышения уровня КК в сыворотке крови во время лечения или после прекращения приема </w:t>
      </w:r>
      <w:proofErr w:type="spellStart"/>
      <w:r w:rsidRPr="009C3B63">
        <w:rPr>
          <w:rFonts w:eastAsia="Arial Unicode MS"/>
          <w:sz w:val="28"/>
          <w:szCs w:val="28"/>
        </w:rPr>
        <w:t>статинов</w:t>
      </w:r>
      <w:proofErr w:type="spellEnd"/>
      <w:r w:rsidRPr="009C3B63">
        <w:rPr>
          <w:rFonts w:eastAsia="Arial Unicode MS"/>
          <w:sz w:val="28"/>
          <w:szCs w:val="28"/>
        </w:rPr>
        <w:t xml:space="preserve">, в том числе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>. Может потребоваться проведение дополнительных исследований мышечной и нервной систем, серологических исследований, а также терапия иммунодепрессивными средствами.</w:t>
      </w:r>
    </w:p>
    <w:p w:rsidR="00C26159" w:rsidRPr="009C3B63" w:rsidRDefault="00C26159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Не отмечено признаков увеличения воздействия на скелетную мускулатуру при приеме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="00A63A30">
        <w:rPr>
          <w:bCs/>
          <w:caps/>
          <w:sz w:val="24"/>
          <w:szCs w:val="24"/>
        </w:rPr>
        <w:t xml:space="preserve"> </w:t>
      </w:r>
      <w:r w:rsidRPr="009C3B63">
        <w:rPr>
          <w:rFonts w:eastAsia="Arial Unicode MS"/>
          <w:sz w:val="28"/>
          <w:szCs w:val="28"/>
        </w:rPr>
        <w:t>и сопутствующей терапии. Однако, сообщалось об увеличении числа случаев миозита и миопатии у пациентов, принимавших другие ингибиторы ГМГ-</w:t>
      </w:r>
      <w:proofErr w:type="spellStart"/>
      <w:r w:rsidRPr="009C3B63">
        <w:rPr>
          <w:rFonts w:eastAsia="Arial Unicode MS"/>
          <w:sz w:val="28"/>
          <w:szCs w:val="28"/>
        </w:rPr>
        <w:t>КоА</w:t>
      </w:r>
      <w:proofErr w:type="spellEnd"/>
      <w:r w:rsidRPr="009C3B63">
        <w:rPr>
          <w:rFonts w:eastAsia="Arial Unicode MS"/>
          <w:sz w:val="28"/>
          <w:szCs w:val="28"/>
        </w:rPr>
        <w:t>-</w:t>
      </w:r>
      <w:proofErr w:type="spellStart"/>
      <w:r w:rsidRPr="009C3B63">
        <w:rPr>
          <w:rFonts w:eastAsia="Arial Unicode MS"/>
          <w:sz w:val="28"/>
          <w:szCs w:val="28"/>
        </w:rPr>
        <w:t>редуктазы</w:t>
      </w:r>
      <w:proofErr w:type="spellEnd"/>
      <w:r w:rsidRPr="009C3B63">
        <w:rPr>
          <w:rFonts w:eastAsia="Arial Unicode MS"/>
          <w:sz w:val="28"/>
          <w:szCs w:val="28"/>
        </w:rPr>
        <w:t xml:space="preserve"> в сочетании с производными </w:t>
      </w:r>
      <w:proofErr w:type="spellStart"/>
      <w:r w:rsidRPr="009C3B63">
        <w:rPr>
          <w:rFonts w:eastAsia="Arial Unicode MS"/>
          <w:sz w:val="28"/>
          <w:szCs w:val="28"/>
        </w:rPr>
        <w:t>фиброевой</w:t>
      </w:r>
      <w:proofErr w:type="spellEnd"/>
      <w:r w:rsidRPr="009C3B63">
        <w:rPr>
          <w:rFonts w:eastAsia="Arial Unicode MS"/>
          <w:sz w:val="28"/>
          <w:szCs w:val="28"/>
        </w:rPr>
        <w:t xml:space="preserve"> кислоты, включая </w:t>
      </w:r>
      <w:proofErr w:type="spellStart"/>
      <w:r w:rsidRPr="009C3B63">
        <w:rPr>
          <w:rFonts w:eastAsia="Arial Unicode MS"/>
          <w:sz w:val="28"/>
          <w:szCs w:val="28"/>
        </w:rPr>
        <w:t>гемфиброзил</w:t>
      </w:r>
      <w:proofErr w:type="spellEnd"/>
      <w:r w:rsidRPr="009C3B63">
        <w:rPr>
          <w:rFonts w:eastAsia="Arial Unicode MS"/>
          <w:sz w:val="28"/>
          <w:szCs w:val="28"/>
        </w:rPr>
        <w:t xml:space="preserve">, </w:t>
      </w:r>
      <w:proofErr w:type="spellStart"/>
      <w:r w:rsidRPr="009C3B63">
        <w:rPr>
          <w:rFonts w:eastAsia="Arial Unicode MS"/>
          <w:sz w:val="28"/>
          <w:szCs w:val="28"/>
        </w:rPr>
        <w:t>циклоспорин</w:t>
      </w:r>
      <w:proofErr w:type="spellEnd"/>
      <w:r w:rsidRPr="009C3B63">
        <w:rPr>
          <w:rFonts w:eastAsia="Arial Unicode MS"/>
          <w:sz w:val="28"/>
          <w:szCs w:val="28"/>
        </w:rPr>
        <w:t xml:space="preserve">, никотиновую кислоту, </w:t>
      </w:r>
      <w:proofErr w:type="spellStart"/>
      <w:r w:rsidRPr="009C3B63">
        <w:rPr>
          <w:rFonts w:eastAsia="Arial Unicode MS"/>
          <w:sz w:val="28"/>
          <w:szCs w:val="28"/>
        </w:rPr>
        <w:t>азольные</w:t>
      </w:r>
      <w:proofErr w:type="spellEnd"/>
      <w:r w:rsidRPr="009C3B63">
        <w:rPr>
          <w:rFonts w:eastAsia="Arial Unicode MS"/>
          <w:sz w:val="28"/>
          <w:szCs w:val="28"/>
        </w:rPr>
        <w:t xml:space="preserve"> противогрибковые средства, ингибиторы протеаз и </w:t>
      </w:r>
      <w:proofErr w:type="spellStart"/>
      <w:r w:rsidRPr="009C3B63">
        <w:rPr>
          <w:rFonts w:eastAsia="Arial Unicode MS"/>
          <w:sz w:val="28"/>
          <w:szCs w:val="28"/>
        </w:rPr>
        <w:t>макролидные</w:t>
      </w:r>
      <w:proofErr w:type="spellEnd"/>
      <w:r w:rsidRPr="009C3B63">
        <w:rPr>
          <w:rFonts w:eastAsia="Arial Unicode MS"/>
          <w:sz w:val="28"/>
          <w:szCs w:val="28"/>
        </w:rPr>
        <w:t xml:space="preserve"> антибиотики. </w:t>
      </w:r>
      <w:proofErr w:type="spellStart"/>
      <w:r w:rsidRPr="009C3B63">
        <w:rPr>
          <w:rFonts w:eastAsia="Arial Unicode MS"/>
          <w:sz w:val="28"/>
          <w:szCs w:val="28"/>
        </w:rPr>
        <w:t>Гемфиброзил</w:t>
      </w:r>
      <w:proofErr w:type="spellEnd"/>
      <w:r w:rsidRPr="009C3B63">
        <w:rPr>
          <w:rFonts w:eastAsia="Arial Unicode MS"/>
          <w:sz w:val="28"/>
          <w:szCs w:val="28"/>
        </w:rPr>
        <w:t xml:space="preserve"> увеличивает риск возникновения миопатии при </w:t>
      </w:r>
      <w:r w:rsidR="00A63A30" w:rsidRPr="009C3B63">
        <w:rPr>
          <w:rFonts w:eastAsia="Arial Unicode MS"/>
          <w:sz w:val="28"/>
          <w:szCs w:val="28"/>
        </w:rPr>
        <w:t>совместном</w:t>
      </w:r>
      <w:r w:rsidRPr="009C3B63">
        <w:rPr>
          <w:rFonts w:eastAsia="Arial Unicode MS"/>
          <w:sz w:val="28"/>
          <w:szCs w:val="28"/>
        </w:rPr>
        <w:t xml:space="preserve"> назначении с некоторыми ингибиторами ГМГ-</w:t>
      </w:r>
      <w:proofErr w:type="spellStart"/>
      <w:r w:rsidRPr="009C3B63">
        <w:rPr>
          <w:rFonts w:eastAsia="Arial Unicode MS"/>
          <w:sz w:val="28"/>
          <w:szCs w:val="28"/>
        </w:rPr>
        <w:t>КоА</w:t>
      </w:r>
      <w:proofErr w:type="spellEnd"/>
      <w:r w:rsidRPr="009C3B63">
        <w:rPr>
          <w:rFonts w:eastAsia="Arial Unicode MS"/>
          <w:sz w:val="28"/>
          <w:szCs w:val="28"/>
        </w:rPr>
        <w:t>-</w:t>
      </w:r>
      <w:proofErr w:type="spellStart"/>
      <w:r w:rsidRPr="009C3B63">
        <w:rPr>
          <w:rFonts w:eastAsia="Arial Unicode MS"/>
          <w:sz w:val="28"/>
          <w:szCs w:val="28"/>
        </w:rPr>
        <w:t>редуктазы</w:t>
      </w:r>
      <w:proofErr w:type="spellEnd"/>
      <w:r w:rsidRPr="009C3B63">
        <w:rPr>
          <w:rFonts w:eastAsia="Arial Unicode MS"/>
          <w:sz w:val="28"/>
          <w:szCs w:val="28"/>
        </w:rPr>
        <w:t xml:space="preserve">. Таким образом, не рекомендуется одновременное назначение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="00A63A30">
        <w:rPr>
          <w:bCs/>
          <w:caps/>
          <w:sz w:val="24"/>
          <w:szCs w:val="24"/>
        </w:rPr>
        <w:t xml:space="preserve"> </w:t>
      </w:r>
      <w:r w:rsidRPr="009C3B63">
        <w:rPr>
          <w:rFonts w:eastAsia="Arial Unicode MS"/>
          <w:sz w:val="28"/>
          <w:szCs w:val="28"/>
        </w:rPr>
        <w:t xml:space="preserve">и </w:t>
      </w:r>
      <w:proofErr w:type="spellStart"/>
      <w:r w:rsidRPr="009C3B63">
        <w:rPr>
          <w:rFonts w:eastAsia="Arial Unicode MS"/>
          <w:sz w:val="28"/>
          <w:szCs w:val="28"/>
        </w:rPr>
        <w:t>гемфиброзила</w:t>
      </w:r>
      <w:proofErr w:type="spellEnd"/>
      <w:r w:rsidRPr="009C3B63">
        <w:rPr>
          <w:rFonts w:eastAsia="Arial Unicode MS"/>
          <w:sz w:val="28"/>
          <w:szCs w:val="28"/>
        </w:rPr>
        <w:t xml:space="preserve">. Должно быть тщательно взвешено соотношение возможной пользы и риска при совместном применении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proofErr w:type="gramStart"/>
      <w:r w:rsidR="00076A28" w:rsidRPr="00082743">
        <w:rPr>
          <w:bCs/>
          <w:caps/>
          <w:sz w:val="24"/>
          <w:szCs w:val="24"/>
        </w:rPr>
        <w:t>]</w:t>
      </w:r>
      <w:r w:rsidRPr="009C3B63">
        <w:rPr>
          <w:rFonts w:eastAsia="Arial Unicode MS"/>
          <w:sz w:val="28"/>
          <w:szCs w:val="28"/>
        </w:rPr>
        <w:t>с</w:t>
      </w:r>
      <w:proofErr w:type="gramEnd"/>
      <w:r w:rsidRPr="009C3B63">
        <w:rPr>
          <w:rFonts w:eastAsia="Arial Unicode MS"/>
          <w:sz w:val="28"/>
          <w:szCs w:val="28"/>
        </w:rPr>
        <w:t xml:space="preserve">  </w:t>
      </w:r>
      <w:proofErr w:type="spellStart"/>
      <w:r w:rsidRPr="009C3B63">
        <w:rPr>
          <w:rFonts w:eastAsia="Arial Unicode MS"/>
          <w:sz w:val="28"/>
          <w:szCs w:val="28"/>
        </w:rPr>
        <w:t>фибратами</w:t>
      </w:r>
      <w:proofErr w:type="spellEnd"/>
      <w:r w:rsidRPr="009C3B63">
        <w:rPr>
          <w:rFonts w:eastAsia="Arial Unicode MS"/>
          <w:sz w:val="28"/>
          <w:szCs w:val="28"/>
        </w:rPr>
        <w:t xml:space="preserve"> или ниацином.</w:t>
      </w:r>
      <w:r w:rsidR="00A63A30">
        <w:rPr>
          <w:rFonts w:eastAsia="Arial Unicode MS"/>
          <w:sz w:val="28"/>
          <w:szCs w:val="28"/>
        </w:rPr>
        <w:t xml:space="preserve"> </w:t>
      </w:r>
      <w:proofErr w:type="spellStart"/>
      <w:r w:rsidRPr="009C3B63">
        <w:rPr>
          <w:sz w:val="28"/>
          <w:szCs w:val="28"/>
        </w:rPr>
        <w:t>Розувастатин</w:t>
      </w:r>
      <w:proofErr w:type="spellEnd"/>
      <w:r w:rsidRPr="009C3B63">
        <w:rPr>
          <w:sz w:val="28"/>
          <w:szCs w:val="28"/>
        </w:rPr>
        <w:t xml:space="preserve"> в </w:t>
      </w:r>
      <w:r w:rsidRPr="009C3B63">
        <w:rPr>
          <w:rFonts w:eastAsia="Arial Unicode MS"/>
          <w:sz w:val="28"/>
          <w:szCs w:val="28"/>
        </w:rPr>
        <w:t xml:space="preserve">дозе 40 мг противопоказан при сопутствующем применении с </w:t>
      </w:r>
      <w:proofErr w:type="spellStart"/>
      <w:r w:rsidRPr="009C3B63">
        <w:rPr>
          <w:rFonts w:eastAsia="Arial Unicode MS"/>
          <w:sz w:val="28"/>
          <w:szCs w:val="28"/>
        </w:rPr>
        <w:t>фибратами</w:t>
      </w:r>
      <w:proofErr w:type="spellEnd"/>
      <w:r w:rsidRPr="009C3B63">
        <w:rPr>
          <w:rFonts w:eastAsia="Arial Unicode MS"/>
          <w:sz w:val="28"/>
          <w:szCs w:val="28"/>
        </w:rPr>
        <w:t>.</w:t>
      </w:r>
    </w:p>
    <w:p w:rsidR="00C26159" w:rsidRPr="009C3B63" w:rsidRDefault="00C26159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Совместный прием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="00A63A30">
        <w:rPr>
          <w:bCs/>
          <w:caps/>
          <w:sz w:val="24"/>
          <w:szCs w:val="24"/>
        </w:rPr>
        <w:t xml:space="preserve"> </w:t>
      </w:r>
      <w:r w:rsidRPr="009C3B63">
        <w:rPr>
          <w:rFonts w:eastAsia="Arial Unicode MS"/>
          <w:sz w:val="28"/>
          <w:szCs w:val="28"/>
        </w:rPr>
        <w:t xml:space="preserve">с препаратами </w:t>
      </w:r>
      <w:proofErr w:type="spellStart"/>
      <w:r w:rsidRPr="009C3B63">
        <w:rPr>
          <w:rFonts w:eastAsia="Arial Unicode MS"/>
          <w:sz w:val="28"/>
          <w:szCs w:val="28"/>
        </w:rPr>
        <w:t>фузидовой</w:t>
      </w:r>
      <w:proofErr w:type="spellEnd"/>
      <w:r w:rsidRPr="009C3B63">
        <w:rPr>
          <w:rFonts w:eastAsia="Arial Unicode MS"/>
          <w:sz w:val="28"/>
          <w:szCs w:val="28"/>
        </w:rPr>
        <w:t xml:space="preserve"> кислоты системного действия или в течение 7 дней после прекращения лечения такими препаратами противопоказан. У пациентов, для которых лечение препаратами </w:t>
      </w:r>
      <w:proofErr w:type="spellStart"/>
      <w:r w:rsidRPr="009C3B63">
        <w:rPr>
          <w:rFonts w:eastAsia="Arial Unicode MS"/>
          <w:sz w:val="28"/>
          <w:szCs w:val="28"/>
        </w:rPr>
        <w:t>фузидовой</w:t>
      </w:r>
      <w:proofErr w:type="spellEnd"/>
      <w:r w:rsidRPr="009C3B63">
        <w:rPr>
          <w:rFonts w:eastAsia="Arial Unicode MS"/>
          <w:sz w:val="28"/>
          <w:szCs w:val="28"/>
        </w:rPr>
        <w:t xml:space="preserve"> кислоты системного действия признано необходимым, лечение </w:t>
      </w:r>
      <w:proofErr w:type="spellStart"/>
      <w:r w:rsidRPr="009C3B63">
        <w:rPr>
          <w:rFonts w:eastAsia="Arial Unicode MS"/>
          <w:sz w:val="28"/>
          <w:szCs w:val="28"/>
        </w:rPr>
        <w:t>статинами</w:t>
      </w:r>
      <w:proofErr w:type="spellEnd"/>
      <w:r w:rsidRPr="009C3B63">
        <w:rPr>
          <w:rFonts w:eastAsia="Arial Unicode MS"/>
          <w:sz w:val="28"/>
          <w:szCs w:val="28"/>
        </w:rPr>
        <w:t xml:space="preserve"> должно быть прервано на время терапии </w:t>
      </w:r>
      <w:proofErr w:type="spellStart"/>
      <w:r w:rsidRPr="009C3B63">
        <w:rPr>
          <w:rFonts w:eastAsia="Arial Unicode MS"/>
          <w:sz w:val="28"/>
          <w:szCs w:val="28"/>
        </w:rPr>
        <w:t>фузидовой</w:t>
      </w:r>
      <w:proofErr w:type="spellEnd"/>
      <w:r w:rsidRPr="009C3B63">
        <w:rPr>
          <w:rFonts w:eastAsia="Arial Unicode MS"/>
          <w:sz w:val="28"/>
          <w:szCs w:val="28"/>
        </w:rPr>
        <w:t xml:space="preserve"> кислотой. Были зафиксированы случаи </w:t>
      </w:r>
      <w:proofErr w:type="spellStart"/>
      <w:r w:rsidRPr="009C3B63">
        <w:rPr>
          <w:rFonts w:eastAsia="Arial Unicode MS"/>
          <w:sz w:val="28"/>
          <w:szCs w:val="28"/>
        </w:rPr>
        <w:t>рабдомиолиза</w:t>
      </w:r>
      <w:proofErr w:type="spellEnd"/>
      <w:r w:rsidRPr="009C3B63">
        <w:rPr>
          <w:rFonts w:eastAsia="Arial Unicode MS"/>
          <w:sz w:val="28"/>
          <w:szCs w:val="28"/>
        </w:rPr>
        <w:t xml:space="preserve"> (включая несколько случаев с летальным исходом) у пациентов, принимавших комбинацию </w:t>
      </w:r>
      <w:proofErr w:type="spellStart"/>
      <w:r w:rsidRPr="009C3B63">
        <w:rPr>
          <w:rFonts w:eastAsia="Arial Unicode MS"/>
          <w:sz w:val="28"/>
          <w:szCs w:val="28"/>
        </w:rPr>
        <w:t>фузидовой</w:t>
      </w:r>
      <w:proofErr w:type="spellEnd"/>
      <w:r w:rsidRPr="009C3B63">
        <w:rPr>
          <w:rFonts w:eastAsia="Arial Unicode MS"/>
          <w:sz w:val="28"/>
          <w:szCs w:val="28"/>
        </w:rPr>
        <w:t xml:space="preserve"> кислоты и </w:t>
      </w:r>
      <w:proofErr w:type="spellStart"/>
      <w:r w:rsidRPr="009C3B63">
        <w:rPr>
          <w:rFonts w:eastAsia="Arial Unicode MS"/>
          <w:sz w:val="28"/>
          <w:szCs w:val="28"/>
        </w:rPr>
        <w:t>статинов</w:t>
      </w:r>
      <w:proofErr w:type="spellEnd"/>
      <w:r w:rsidRPr="009C3B63">
        <w:rPr>
          <w:rFonts w:eastAsia="Arial Unicode MS"/>
          <w:sz w:val="28"/>
          <w:szCs w:val="28"/>
        </w:rPr>
        <w:t xml:space="preserve">. При возникновении симптомов мышечной слабости, боли или болезненной чувствительности пациентам рекомендуется незамедлительно обратиться </w:t>
      </w:r>
      <w:r w:rsidR="00502229" w:rsidRPr="009C3B63">
        <w:rPr>
          <w:rFonts w:eastAsia="Arial Unicode MS"/>
          <w:sz w:val="28"/>
          <w:szCs w:val="28"/>
        </w:rPr>
        <w:t>к врачу</w:t>
      </w:r>
      <w:r w:rsidRPr="009C3B63">
        <w:rPr>
          <w:rFonts w:eastAsia="Arial Unicode MS"/>
          <w:sz w:val="28"/>
          <w:szCs w:val="28"/>
        </w:rPr>
        <w:t xml:space="preserve">. Терапию </w:t>
      </w:r>
      <w:proofErr w:type="spellStart"/>
      <w:r w:rsidRPr="009C3B63">
        <w:rPr>
          <w:rFonts w:eastAsia="Arial Unicode MS"/>
          <w:sz w:val="28"/>
          <w:szCs w:val="28"/>
        </w:rPr>
        <w:t>статинами</w:t>
      </w:r>
      <w:proofErr w:type="spellEnd"/>
      <w:r w:rsidRPr="009C3B63">
        <w:rPr>
          <w:rFonts w:eastAsia="Arial Unicode MS"/>
          <w:sz w:val="28"/>
          <w:szCs w:val="28"/>
        </w:rPr>
        <w:t xml:space="preserve"> можно возобновить через семь дней после приема последней дозы </w:t>
      </w:r>
      <w:proofErr w:type="spellStart"/>
      <w:r w:rsidRPr="009C3B63">
        <w:rPr>
          <w:rFonts w:eastAsia="Arial Unicode MS"/>
          <w:sz w:val="28"/>
          <w:szCs w:val="28"/>
        </w:rPr>
        <w:t>фузидовой</w:t>
      </w:r>
      <w:proofErr w:type="spellEnd"/>
      <w:r w:rsidRPr="009C3B63">
        <w:rPr>
          <w:rFonts w:eastAsia="Arial Unicode MS"/>
          <w:sz w:val="28"/>
          <w:szCs w:val="28"/>
        </w:rPr>
        <w:t xml:space="preserve"> кислоты. В исключительных ситуациях, когда необходимо длительное лечение </w:t>
      </w:r>
      <w:proofErr w:type="spellStart"/>
      <w:r w:rsidRPr="009C3B63">
        <w:rPr>
          <w:rFonts w:eastAsia="Arial Unicode MS"/>
          <w:sz w:val="28"/>
          <w:szCs w:val="28"/>
        </w:rPr>
        <w:t>фузидовой</w:t>
      </w:r>
      <w:proofErr w:type="spellEnd"/>
      <w:r w:rsidRPr="009C3B63">
        <w:rPr>
          <w:rFonts w:eastAsia="Arial Unicode MS"/>
          <w:sz w:val="28"/>
          <w:szCs w:val="28"/>
        </w:rPr>
        <w:t xml:space="preserve"> кислотой системного </w:t>
      </w:r>
      <w:r w:rsidRPr="009C3B63">
        <w:rPr>
          <w:rFonts w:eastAsia="Arial Unicode MS"/>
          <w:sz w:val="28"/>
          <w:szCs w:val="28"/>
        </w:rPr>
        <w:lastRenderedPageBreak/>
        <w:t xml:space="preserve">действия, например для лечения серьезных инфекций, необходимость совместного приема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="00A63A30">
        <w:rPr>
          <w:bCs/>
          <w:caps/>
          <w:sz w:val="24"/>
          <w:szCs w:val="24"/>
        </w:rPr>
        <w:t xml:space="preserve"> </w:t>
      </w:r>
      <w:r w:rsidRPr="009C3B63">
        <w:rPr>
          <w:rFonts w:eastAsia="Arial Unicode MS"/>
          <w:sz w:val="28"/>
          <w:szCs w:val="28"/>
        </w:rPr>
        <w:t xml:space="preserve">и </w:t>
      </w:r>
      <w:proofErr w:type="spellStart"/>
      <w:r w:rsidRPr="009C3B63">
        <w:rPr>
          <w:rFonts w:eastAsia="Arial Unicode MS"/>
          <w:sz w:val="28"/>
          <w:szCs w:val="28"/>
        </w:rPr>
        <w:t>фузидовой</w:t>
      </w:r>
      <w:proofErr w:type="spellEnd"/>
      <w:r w:rsidRPr="009C3B63">
        <w:rPr>
          <w:rFonts w:eastAsia="Arial Unicode MS"/>
          <w:sz w:val="28"/>
          <w:szCs w:val="28"/>
        </w:rPr>
        <w:t xml:space="preserve"> кислоты следует рассматривать в каждом отдельном случае и под тщательным медицинским наблюдением.</w:t>
      </w:r>
    </w:p>
    <w:p w:rsidR="00C26159" w:rsidRPr="009C3B63" w:rsidRDefault="00076A28" w:rsidP="009C3B63">
      <w:pPr>
        <w:jc w:val="both"/>
        <w:rPr>
          <w:rFonts w:eastAsia="Arial Unicode MS"/>
          <w:sz w:val="28"/>
          <w:szCs w:val="28"/>
        </w:rPr>
      </w:pPr>
      <w:proofErr w:type="gramStart"/>
      <w:r w:rsidRPr="00082743">
        <w:rPr>
          <w:bCs/>
          <w:caps/>
          <w:sz w:val="24"/>
          <w:szCs w:val="24"/>
        </w:rPr>
        <w:t>[</w:t>
      </w:r>
      <w:r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Pr="00082743">
        <w:rPr>
          <w:bCs/>
          <w:caps/>
          <w:sz w:val="24"/>
          <w:szCs w:val="24"/>
        </w:rPr>
        <w:t>]</w:t>
      </w:r>
      <w:r w:rsidR="00A63A30">
        <w:rPr>
          <w:bCs/>
          <w:caps/>
          <w:sz w:val="24"/>
          <w:szCs w:val="24"/>
        </w:rPr>
        <w:t xml:space="preserve"> </w:t>
      </w:r>
      <w:r w:rsidR="00C26159" w:rsidRPr="009C3B63">
        <w:rPr>
          <w:rFonts w:eastAsia="Arial Unicode MS"/>
          <w:sz w:val="28"/>
          <w:szCs w:val="28"/>
        </w:rPr>
        <w:t xml:space="preserve">не следует принимать пациентам с острыми тяжелыми заболеваниями, предполагающим миопатию или предрасполагающими к развитию почечной недостаточности, которая является вторичной по отношению к </w:t>
      </w:r>
      <w:proofErr w:type="spellStart"/>
      <w:r w:rsidR="00C26159" w:rsidRPr="009C3B63">
        <w:rPr>
          <w:rFonts w:eastAsia="Arial Unicode MS"/>
          <w:sz w:val="28"/>
          <w:szCs w:val="28"/>
        </w:rPr>
        <w:t>рабдомиолизу</w:t>
      </w:r>
      <w:proofErr w:type="spellEnd"/>
      <w:r w:rsidR="00C26159" w:rsidRPr="009C3B63">
        <w:rPr>
          <w:rFonts w:eastAsia="Arial Unicode MS"/>
          <w:sz w:val="28"/>
          <w:szCs w:val="28"/>
        </w:rPr>
        <w:t xml:space="preserve"> (например, сепсис, гипотония, тяжелая операция, травма, тяжелые метаболические, эндокринные и электролитные нарушения или неконтролируемые судороги).</w:t>
      </w:r>
      <w:proofErr w:type="gramEnd"/>
    </w:p>
    <w:p w:rsidR="00890219" w:rsidRPr="00964A92" w:rsidRDefault="00890219" w:rsidP="009C3B63">
      <w:pPr>
        <w:keepNext/>
        <w:jc w:val="both"/>
        <w:outlineLvl w:val="6"/>
        <w:rPr>
          <w:rFonts w:eastAsia="Arial Unicode MS"/>
          <w:i/>
          <w:iCs/>
          <w:sz w:val="28"/>
          <w:szCs w:val="28"/>
        </w:rPr>
      </w:pPr>
      <w:r w:rsidRPr="00964A92">
        <w:rPr>
          <w:rFonts w:eastAsia="Arial Unicode MS"/>
          <w:i/>
          <w:iCs/>
          <w:sz w:val="28"/>
          <w:szCs w:val="28"/>
        </w:rPr>
        <w:t>Тяжелые  нежелательные реакции со стороны кожи</w:t>
      </w:r>
    </w:p>
    <w:p w:rsidR="00890219" w:rsidRPr="008E4E5F" w:rsidRDefault="00890219" w:rsidP="009C3B63">
      <w:pPr>
        <w:jc w:val="both"/>
        <w:rPr>
          <w:rFonts w:eastAsia="Arial Unicode MS"/>
          <w:sz w:val="28"/>
          <w:szCs w:val="28"/>
        </w:rPr>
      </w:pPr>
      <w:r w:rsidRPr="008E4E5F">
        <w:rPr>
          <w:rFonts w:eastAsia="Arial Unicode MS"/>
          <w:sz w:val="28"/>
          <w:szCs w:val="28"/>
        </w:rPr>
        <w:t xml:space="preserve">При применении  </w:t>
      </w:r>
      <w:proofErr w:type="spellStart"/>
      <w:r w:rsidRPr="008E4E5F">
        <w:rPr>
          <w:rFonts w:eastAsia="Arial Unicode MS"/>
          <w:sz w:val="28"/>
          <w:szCs w:val="28"/>
        </w:rPr>
        <w:t>розувастатина</w:t>
      </w:r>
      <w:proofErr w:type="spellEnd"/>
      <w:r w:rsidRPr="008E4E5F">
        <w:rPr>
          <w:rFonts w:eastAsia="Arial Unicode MS"/>
          <w:sz w:val="28"/>
          <w:szCs w:val="28"/>
        </w:rPr>
        <w:t xml:space="preserve"> были зарегистрированы кожные нежелательные реакции тяжелой степени, включая синдром </w:t>
      </w:r>
      <w:proofErr w:type="spellStart"/>
      <w:r w:rsidRPr="008E4E5F">
        <w:rPr>
          <w:rFonts w:eastAsia="Arial Unicode MS"/>
          <w:sz w:val="28"/>
          <w:szCs w:val="28"/>
        </w:rPr>
        <w:t>Стивенса</w:t>
      </w:r>
      <w:proofErr w:type="spellEnd"/>
      <w:r w:rsidRPr="008E4E5F">
        <w:rPr>
          <w:rFonts w:eastAsia="Arial Unicode MS"/>
          <w:sz w:val="28"/>
          <w:szCs w:val="28"/>
        </w:rPr>
        <w:t xml:space="preserve">-Джонсона (SJS) и лекарственные реакции c </w:t>
      </w:r>
      <w:proofErr w:type="spellStart"/>
      <w:r w:rsidRPr="008E4E5F">
        <w:rPr>
          <w:rFonts w:eastAsia="Arial Unicode MS"/>
          <w:sz w:val="28"/>
          <w:szCs w:val="28"/>
        </w:rPr>
        <w:t>эозинофилией</w:t>
      </w:r>
      <w:proofErr w:type="spellEnd"/>
      <w:r w:rsidRPr="008E4E5F">
        <w:rPr>
          <w:rFonts w:eastAsia="Arial Unicode MS"/>
          <w:sz w:val="28"/>
          <w:szCs w:val="28"/>
        </w:rPr>
        <w:t xml:space="preserve"> и системными симптомами (</w:t>
      </w:r>
      <w:proofErr w:type="spellStart"/>
      <w:r w:rsidRPr="008E4E5F">
        <w:rPr>
          <w:rFonts w:eastAsia="Arial Unicode MS"/>
          <w:sz w:val="28"/>
          <w:szCs w:val="28"/>
        </w:rPr>
        <w:t>Drug</w:t>
      </w:r>
      <w:proofErr w:type="spellEnd"/>
      <w:r w:rsidR="00A755F3">
        <w:rPr>
          <w:rFonts w:eastAsia="Arial Unicode MS"/>
          <w:sz w:val="28"/>
          <w:szCs w:val="28"/>
        </w:rPr>
        <w:t xml:space="preserve"> </w:t>
      </w:r>
      <w:proofErr w:type="spellStart"/>
      <w:r w:rsidRPr="008E4E5F">
        <w:rPr>
          <w:rFonts w:eastAsia="Arial Unicode MS"/>
          <w:sz w:val="28"/>
          <w:szCs w:val="28"/>
        </w:rPr>
        <w:t>reaction</w:t>
      </w:r>
      <w:proofErr w:type="spellEnd"/>
      <w:r w:rsidR="00A755F3">
        <w:rPr>
          <w:rFonts w:eastAsia="Arial Unicode MS"/>
          <w:sz w:val="28"/>
          <w:szCs w:val="28"/>
        </w:rPr>
        <w:t xml:space="preserve"> </w:t>
      </w:r>
      <w:proofErr w:type="spellStart"/>
      <w:r w:rsidRPr="008E4E5F">
        <w:rPr>
          <w:rFonts w:eastAsia="Arial Unicode MS"/>
          <w:sz w:val="28"/>
          <w:szCs w:val="28"/>
        </w:rPr>
        <w:t>with</w:t>
      </w:r>
      <w:proofErr w:type="spellEnd"/>
      <w:r w:rsidR="00A755F3">
        <w:rPr>
          <w:rFonts w:eastAsia="Arial Unicode MS"/>
          <w:sz w:val="28"/>
          <w:szCs w:val="28"/>
        </w:rPr>
        <w:t xml:space="preserve"> </w:t>
      </w:r>
      <w:proofErr w:type="spellStart"/>
      <w:r w:rsidRPr="008E4E5F">
        <w:rPr>
          <w:rFonts w:eastAsia="Arial Unicode MS"/>
          <w:sz w:val="28"/>
          <w:szCs w:val="28"/>
        </w:rPr>
        <w:t>eosinophilia</w:t>
      </w:r>
      <w:proofErr w:type="spellEnd"/>
      <w:r w:rsidR="00A755F3">
        <w:rPr>
          <w:rFonts w:eastAsia="Arial Unicode MS"/>
          <w:sz w:val="28"/>
          <w:szCs w:val="28"/>
        </w:rPr>
        <w:t xml:space="preserve"> </w:t>
      </w:r>
      <w:proofErr w:type="spellStart"/>
      <w:r w:rsidRPr="008E4E5F">
        <w:rPr>
          <w:rFonts w:eastAsia="Arial Unicode MS"/>
          <w:sz w:val="28"/>
          <w:szCs w:val="28"/>
        </w:rPr>
        <w:t>and</w:t>
      </w:r>
      <w:proofErr w:type="spellEnd"/>
      <w:r w:rsidR="00A755F3">
        <w:rPr>
          <w:rFonts w:eastAsia="Arial Unicode MS"/>
          <w:sz w:val="28"/>
          <w:szCs w:val="28"/>
        </w:rPr>
        <w:t xml:space="preserve"> </w:t>
      </w:r>
      <w:proofErr w:type="spellStart"/>
      <w:r w:rsidRPr="008E4E5F">
        <w:rPr>
          <w:rFonts w:eastAsia="Arial Unicode MS"/>
          <w:sz w:val="28"/>
          <w:szCs w:val="28"/>
        </w:rPr>
        <w:t>systemic</w:t>
      </w:r>
      <w:proofErr w:type="spellEnd"/>
      <w:r w:rsidR="00A755F3">
        <w:rPr>
          <w:rFonts w:eastAsia="Arial Unicode MS"/>
          <w:sz w:val="28"/>
          <w:szCs w:val="28"/>
        </w:rPr>
        <w:t xml:space="preserve"> </w:t>
      </w:r>
      <w:proofErr w:type="spellStart"/>
      <w:r w:rsidRPr="008E4E5F">
        <w:rPr>
          <w:rFonts w:eastAsia="Arial Unicode MS"/>
          <w:sz w:val="28"/>
          <w:szCs w:val="28"/>
        </w:rPr>
        <w:t>symptoms</w:t>
      </w:r>
      <w:proofErr w:type="spellEnd"/>
      <w:r w:rsidRPr="008E4E5F">
        <w:rPr>
          <w:rFonts w:eastAsia="Arial Unicode MS"/>
          <w:sz w:val="28"/>
          <w:szCs w:val="28"/>
        </w:rPr>
        <w:t xml:space="preserve"> (DRESS)), которые могут быть опасными для жизни или иметь летальный исход. При назначении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="007F1DD0">
        <w:rPr>
          <w:bCs/>
          <w:caps/>
          <w:sz w:val="24"/>
          <w:szCs w:val="24"/>
        </w:rPr>
        <w:t xml:space="preserve"> </w:t>
      </w:r>
      <w:r w:rsidRPr="008E4E5F">
        <w:rPr>
          <w:rFonts w:eastAsia="Arial Unicode MS"/>
          <w:sz w:val="28"/>
          <w:szCs w:val="28"/>
        </w:rPr>
        <w:t xml:space="preserve">пациенты должны быть проинформированы о признаках и симптомах тяжелых кожных нежелательных реакций с последующим тщательным наблюдением за этими пациентами. </w:t>
      </w:r>
    </w:p>
    <w:p w:rsidR="00890219" w:rsidRPr="008E4E5F" w:rsidRDefault="00890219" w:rsidP="009C3B63">
      <w:pPr>
        <w:jc w:val="both"/>
        <w:rPr>
          <w:sz w:val="28"/>
          <w:szCs w:val="28"/>
          <w:lang w:eastAsia="en-US"/>
        </w:rPr>
      </w:pPr>
      <w:r w:rsidRPr="008E4E5F">
        <w:rPr>
          <w:sz w:val="28"/>
          <w:szCs w:val="28"/>
          <w:lang w:eastAsia="en-US"/>
        </w:rPr>
        <w:t xml:space="preserve">Синдром </w:t>
      </w:r>
      <w:proofErr w:type="spellStart"/>
      <w:r w:rsidRPr="008E4E5F">
        <w:rPr>
          <w:sz w:val="28"/>
          <w:szCs w:val="28"/>
          <w:lang w:eastAsia="en-US"/>
        </w:rPr>
        <w:t>Стивенса</w:t>
      </w:r>
      <w:proofErr w:type="spellEnd"/>
      <w:r w:rsidRPr="008E4E5F">
        <w:rPr>
          <w:sz w:val="28"/>
          <w:szCs w:val="28"/>
          <w:lang w:eastAsia="en-US"/>
        </w:rPr>
        <w:t>-Джонсона обычно характеризуется   появлением   красноватых круглых пятен на туловище, часто с волдырями в центре, шелушением на коже, появлением язв во рту, горле, носовых проходах, гениталиях и глазах. Этим серьезным высыпаниям на коже могут предшествовать лихорадка и гриппоподобные симптомы.</w:t>
      </w:r>
    </w:p>
    <w:p w:rsidR="00890219" w:rsidRPr="008E4E5F" w:rsidRDefault="00890219" w:rsidP="009C3B63">
      <w:pPr>
        <w:autoSpaceDE w:val="0"/>
        <w:autoSpaceDN w:val="0"/>
        <w:jc w:val="both"/>
        <w:rPr>
          <w:sz w:val="28"/>
          <w:szCs w:val="28"/>
        </w:rPr>
      </w:pPr>
      <w:r w:rsidRPr="008E4E5F">
        <w:rPr>
          <w:sz w:val="28"/>
          <w:szCs w:val="28"/>
        </w:rPr>
        <w:t>Синдром DRESS или синдром гиперчувствительности к лекарственному препарату характеризуется появлением распространенной сыпи, высокой температурой тела и увеличением лимфатических узлов.</w:t>
      </w:r>
    </w:p>
    <w:p w:rsidR="00890219" w:rsidRPr="008E4E5F" w:rsidRDefault="00890219" w:rsidP="009C3B63">
      <w:pPr>
        <w:jc w:val="both"/>
        <w:rPr>
          <w:rFonts w:eastAsia="Arial Unicode MS"/>
          <w:sz w:val="28"/>
          <w:szCs w:val="28"/>
        </w:rPr>
      </w:pPr>
      <w:r w:rsidRPr="008E4E5F">
        <w:rPr>
          <w:rFonts w:eastAsia="Arial Unicode MS"/>
          <w:sz w:val="28"/>
          <w:szCs w:val="28"/>
        </w:rPr>
        <w:t xml:space="preserve">При возникновении признаков и симптомов, указывающих на такие нежелательные реакции, необходимо немедленно отменить препарат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Pr="008E4E5F">
        <w:rPr>
          <w:rFonts w:eastAsia="Arial Unicode MS"/>
          <w:sz w:val="28"/>
          <w:szCs w:val="28"/>
        </w:rPr>
        <w:t xml:space="preserve"> и назначить альтернативное лечение. </w:t>
      </w:r>
    </w:p>
    <w:p w:rsidR="005F6BE8" w:rsidRPr="009C3B63" w:rsidRDefault="00890219" w:rsidP="009C3B63">
      <w:pPr>
        <w:jc w:val="both"/>
        <w:rPr>
          <w:rFonts w:eastAsia="Arial Unicode MS"/>
          <w:sz w:val="28"/>
          <w:szCs w:val="28"/>
        </w:rPr>
      </w:pPr>
      <w:r w:rsidRPr="008E4E5F">
        <w:rPr>
          <w:rFonts w:eastAsia="Arial Unicode MS"/>
          <w:sz w:val="28"/>
          <w:szCs w:val="28"/>
        </w:rPr>
        <w:t xml:space="preserve">Если у пациента развилась серьезная нежелательная реакция, такая как синдром </w:t>
      </w:r>
      <w:proofErr w:type="spellStart"/>
      <w:r w:rsidRPr="008E4E5F">
        <w:rPr>
          <w:rFonts w:eastAsia="Arial Unicode MS"/>
          <w:sz w:val="28"/>
          <w:szCs w:val="28"/>
        </w:rPr>
        <w:t>Стивенса</w:t>
      </w:r>
      <w:proofErr w:type="spellEnd"/>
      <w:r w:rsidRPr="008E4E5F">
        <w:rPr>
          <w:rFonts w:eastAsia="Arial Unicode MS"/>
          <w:sz w:val="28"/>
          <w:szCs w:val="28"/>
        </w:rPr>
        <w:t xml:space="preserve">-Джонсона или лекарственная реакция c </w:t>
      </w:r>
      <w:proofErr w:type="spellStart"/>
      <w:r w:rsidRPr="008E4E5F">
        <w:rPr>
          <w:rFonts w:eastAsia="Arial Unicode MS"/>
          <w:sz w:val="28"/>
          <w:szCs w:val="28"/>
        </w:rPr>
        <w:t>эозинофилией</w:t>
      </w:r>
      <w:proofErr w:type="spellEnd"/>
      <w:r w:rsidRPr="008E4E5F">
        <w:rPr>
          <w:rFonts w:eastAsia="Arial Unicode MS"/>
          <w:sz w:val="28"/>
          <w:szCs w:val="28"/>
        </w:rPr>
        <w:t xml:space="preserve"> и системными симптомами при применении 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Pr="008E4E5F">
        <w:rPr>
          <w:rFonts w:eastAsia="Arial Unicode MS"/>
          <w:sz w:val="28"/>
          <w:szCs w:val="28"/>
        </w:rPr>
        <w:t xml:space="preserve">, терапию препаратом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="007F1DD0">
        <w:rPr>
          <w:bCs/>
          <w:caps/>
          <w:sz w:val="24"/>
          <w:szCs w:val="24"/>
        </w:rPr>
        <w:t xml:space="preserve"> </w:t>
      </w:r>
      <w:r w:rsidRPr="008E4E5F">
        <w:rPr>
          <w:rFonts w:eastAsia="Arial Unicode MS"/>
          <w:sz w:val="28"/>
          <w:szCs w:val="28"/>
        </w:rPr>
        <w:t>на постоянной основе у данного пациента следует отменить.</w:t>
      </w:r>
    </w:p>
    <w:p w:rsidR="00C26159" w:rsidRPr="009C3B63" w:rsidRDefault="00C26159" w:rsidP="009C3B63">
      <w:pPr>
        <w:jc w:val="both"/>
        <w:rPr>
          <w:rFonts w:eastAsia="Arial Unicode MS"/>
          <w:i/>
          <w:sz w:val="28"/>
          <w:szCs w:val="28"/>
        </w:rPr>
      </w:pPr>
      <w:r w:rsidRPr="009C3B63">
        <w:rPr>
          <w:rFonts w:eastAsia="Arial Unicode MS"/>
          <w:i/>
          <w:sz w:val="28"/>
          <w:szCs w:val="28"/>
        </w:rPr>
        <w:t>Воздействие на печень</w:t>
      </w:r>
    </w:p>
    <w:p w:rsidR="00C26159" w:rsidRPr="009C3B63" w:rsidRDefault="00C26159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>Как и в случае других ингибиторов ГМГ-</w:t>
      </w:r>
      <w:proofErr w:type="spellStart"/>
      <w:r w:rsidRPr="009C3B63">
        <w:rPr>
          <w:rFonts w:eastAsia="Arial Unicode MS"/>
          <w:sz w:val="28"/>
          <w:szCs w:val="28"/>
        </w:rPr>
        <w:t>КоА</w:t>
      </w:r>
      <w:proofErr w:type="spellEnd"/>
      <w:r w:rsidRPr="009C3B63">
        <w:rPr>
          <w:rFonts w:eastAsia="Arial Unicode MS"/>
          <w:sz w:val="28"/>
          <w:szCs w:val="28"/>
        </w:rPr>
        <w:t>-</w:t>
      </w:r>
      <w:proofErr w:type="spellStart"/>
      <w:r w:rsidRPr="009C3B63">
        <w:rPr>
          <w:rFonts w:eastAsia="Arial Unicode MS"/>
          <w:sz w:val="28"/>
          <w:szCs w:val="28"/>
        </w:rPr>
        <w:t>редуктазы</w:t>
      </w:r>
      <w:proofErr w:type="spellEnd"/>
      <w:r w:rsidRPr="009C3B63">
        <w:rPr>
          <w:rFonts w:eastAsia="Arial Unicode MS"/>
          <w:sz w:val="28"/>
          <w:szCs w:val="28"/>
        </w:rPr>
        <w:t xml:space="preserve">, пациенты, употребляющие чрезмерное количество алкоголя и/или имеющие в анамнезе заболевание печени, должны принимать препарат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="007F1DD0">
        <w:rPr>
          <w:bCs/>
          <w:caps/>
          <w:sz w:val="24"/>
          <w:szCs w:val="24"/>
        </w:rPr>
        <w:t xml:space="preserve"> </w:t>
      </w:r>
      <w:r w:rsidRPr="009C3B63">
        <w:rPr>
          <w:rFonts w:eastAsia="Arial Unicode MS"/>
          <w:sz w:val="28"/>
          <w:szCs w:val="28"/>
        </w:rPr>
        <w:t xml:space="preserve">с осторожностью. Рекомендуется проводить определение показателей функции печени до начала терапии и через 3 месяца после начала терапии. Прием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="007F1DD0">
        <w:rPr>
          <w:bCs/>
          <w:caps/>
          <w:sz w:val="24"/>
          <w:szCs w:val="24"/>
        </w:rPr>
        <w:t xml:space="preserve"> </w:t>
      </w:r>
      <w:r w:rsidRPr="009C3B63">
        <w:rPr>
          <w:rFonts w:eastAsia="Arial Unicode MS"/>
          <w:sz w:val="28"/>
          <w:szCs w:val="28"/>
        </w:rPr>
        <w:t xml:space="preserve">следует прекратить или уменьшить его дозу, если уровень активности </w:t>
      </w:r>
      <w:proofErr w:type="spellStart"/>
      <w:r w:rsidRPr="009C3B63">
        <w:rPr>
          <w:rFonts w:eastAsia="Arial Unicode MS"/>
          <w:sz w:val="28"/>
          <w:szCs w:val="28"/>
        </w:rPr>
        <w:t>трансаминаз</w:t>
      </w:r>
      <w:proofErr w:type="spellEnd"/>
      <w:r w:rsidRPr="009C3B63">
        <w:rPr>
          <w:rFonts w:eastAsia="Arial Unicode MS"/>
          <w:sz w:val="28"/>
          <w:szCs w:val="28"/>
        </w:rPr>
        <w:t xml:space="preserve"> </w:t>
      </w:r>
      <w:r w:rsidRPr="009C3B63">
        <w:rPr>
          <w:rFonts w:eastAsia="Arial Unicode MS"/>
          <w:sz w:val="28"/>
          <w:szCs w:val="28"/>
        </w:rPr>
        <w:lastRenderedPageBreak/>
        <w:t>в сыворотки крови в 3 раза превышает верхнюю границу нормы. Частота выявления случаев серьезных нарушен</w:t>
      </w:r>
      <w:r w:rsidR="002D20BC" w:rsidRPr="009C3B63">
        <w:rPr>
          <w:rFonts w:eastAsia="Arial Unicode MS"/>
          <w:sz w:val="28"/>
          <w:szCs w:val="28"/>
        </w:rPr>
        <w:t>и</w:t>
      </w:r>
      <w:r w:rsidRPr="009C3B63">
        <w:rPr>
          <w:rFonts w:eastAsia="Arial Unicode MS"/>
          <w:sz w:val="28"/>
          <w:szCs w:val="28"/>
        </w:rPr>
        <w:t xml:space="preserve">й функции печени (включая в основном повышение уровня </w:t>
      </w:r>
      <w:proofErr w:type="spellStart"/>
      <w:r w:rsidRPr="009C3B63">
        <w:rPr>
          <w:rFonts w:eastAsia="Arial Unicode MS"/>
          <w:sz w:val="28"/>
          <w:szCs w:val="28"/>
        </w:rPr>
        <w:t>трансаминаз</w:t>
      </w:r>
      <w:proofErr w:type="spellEnd"/>
      <w:r w:rsidRPr="009C3B63">
        <w:rPr>
          <w:rFonts w:eastAsia="Arial Unicode MS"/>
          <w:sz w:val="28"/>
          <w:szCs w:val="28"/>
        </w:rPr>
        <w:t xml:space="preserve">) выше при приеме дозы 40 мг. У пациентов с </w:t>
      </w:r>
      <w:proofErr w:type="spellStart"/>
      <w:r w:rsidRPr="009C3B63">
        <w:rPr>
          <w:rFonts w:eastAsia="Arial Unicode MS"/>
          <w:sz w:val="28"/>
          <w:szCs w:val="28"/>
        </w:rPr>
        <w:t>гиперхолестеринемией</w:t>
      </w:r>
      <w:proofErr w:type="spellEnd"/>
      <w:r w:rsidRPr="009C3B63">
        <w:rPr>
          <w:rFonts w:eastAsia="Arial Unicode MS"/>
          <w:sz w:val="28"/>
          <w:szCs w:val="28"/>
        </w:rPr>
        <w:t xml:space="preserve"> вследствие гипотиреоза или нефротического синдрома терапия основных заболеваний должна проводиться до начала лечения препаратом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Pr="009C3B63">
        <w:rPr>
          <w:rFonts w:eastAsia="Arial Unicode MS"/>
          <w:sz w:val="28"/>
          <w:szCs w:val="28"/>
        </w:rPr>
        <w:t>.</w:t>
      </w:r>
    </w:p>
    <w:p w:rsidR="00C26159" w:rsidRPr="009C3B63" w:rsidRDefault="00C26159" w:rsidP="009C3B63">
      <w:pPr>
        <w:jc w:val="both"/>
        <w:rPr>
          <w:rFonts w:eastAsia="Arial Unicode MS"/>
          <w:i/>
          <w:sz w:val="28"/>
          <w:szCs w:val="28"/>
        </w:rPr>
      </w:pPr>
      <w:r w:rsidRPr="009C3B63">
        <w:rPr>
          <w:rFonts w:eastAsia="Arial Unicode MS"/>
          <w:i/>
          <w:sz w:val="28"/>
          <w:szCs w:val="28"/>
        </w:rPr>
        <w:t>Этнические группы</w:t>
      </w:r>
    </w:p>
    <w:p w:rsidR="00C26159" w:rsidRPr="009C3B63" w:rsidRDefault="00E06ED4" w:rsidP="009C3B63">
      <w:pPr>
        <w:jc w:val="both"/>
        <w:rPr>
          <w:rFonts w:eastAsia="Arial Unicode MS"/>
          <w:sz w:val="28"/>
          <w:szCs w:val="28"/>
        </w:rPr>
      </w:pPr>
      <w:proofErr w:type="gramStart"/>
      <w:r w:rsidRPr="009C3B63">
        <w:rPr>
          <w:rFonts w:eastAsia="Arial Unicode MS"/>
          <w:sz w:val="28"/>
          <w:szCs w:val="28"/>
        </w:rPr>
        <w:t>Имеются данные об</w:t>
      </w:r>
      <w:r w:rsidR="00C26159" w:rsidRPr="009C3B63">
        <w:rPr>
          <w:rFonts w:eastAsia="Arial Unicode MS"/>
          <w:sz w:val="28"/>
          <w:szCs w:val="28"/>
        </w:rPr>
        <w:t xml:space="preserve"> увеличени</w:t>
      </w:r>
      <w:r w:rsidRPr="009C3B63">
        <w:rPr>
          <w:rFonts w:eastAsia="Arial Unicode MS"/>
          <w:sz w:val="28"/>
          <w:szCs w:val="28"/>
        </w:rPr>
        <w:t>и</w:t>
      </w:r>
      <w:r w:rsidR="00C26159" w:rsidRPr="009C3B63">
        <w:rPr>
          <w:rFonts w:eastAsia="Arial Unicode MS"/>
          <w:sz w:val="28"/>
          <w:szCs w:val="28"/>
        </w:rPr>
        <w:t xml:space="preserve"> воздействия  </w:t>
      </w:r>
      <w:proofErr w:type="spellStart"/>
      <w:r w:rsidR="00C26159"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="00C26159" w:rsidRPr="009C3B63">
        <w:rPr>
          <w:rFonts w:eastAsia="Arial Unicode MS"/>
          <w:sz w:val="28"/>
          <w:szCs w:val="28"/>
        </w:rPr>
        <w:t xml:space="preserve"> на монголоидную расу выше, чем на европеоидную. </w:t>
      </w:r>
      <w:proofErr w:type="gramEnd"/>
    </w:p>
    <w:p w:rsidR="00C26159" w:rsidRPr="009C3B63" w:rsidRDefault="00C26159" w:rsidP="009C3B63">
      <w:pPr>
        <w:jc w:val="both"/>
        <w:rPr>
          <w:rFonts w:eastAsia="Arial Unicode MS"/>
          <w:i/>
          <w:sz w:val="28"/>
          <w:szCs w:val="28"/>
        </w:rPr>
      </w:pPr>
      <w:r w:rsidRPr="009C3B63">
        <w:rPr>
          <w:rFonts w:eastAsia="Arial Unicode MS"/>
          <w:i/>
          <w:sz w:val="28"/>
          <w:szCs w:val="28"/>
        </w:rPr>
        <w:t>Ингибиторы протеазы</w:t>
      </w:r>
    </w:p>
    <w:p w:rsidR="00C26159" w:rsidRPr="009C3B63" w:rsidRDefault="00C26159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Повышенное системное воздействие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 xml:space="preserve"> наблюдается у пациентов, получающих его одновременно с различными ингибиторами протеаз в сочетании с </w:t>
      </w:r>
      <w:proofErr w:type="spellStart"/>
      <w:r w:rsidRPr="009C3B63">
        <w:rPr>
          <w:rFonts w:eastAsia="Arial Unicode MS"/>
          <w:sz w:val="28"/>
          <w:szCs w:val="28"/>
        </w:rPr>
        <w:t>ритонавиром</w:t>
      </w:r>
      <w:proofErr w:type="spellEnd"/>
      <w:r w:rsidRPr="009C3B63">
        <w:rPr>
          <w:rFonts w:eastAsia="Arial Unicode MS"/>
          <w:sz w:val="28"/>
          <w:szCs w:val="28"/>
        </w:rPr>
        <w:t xml:space="preserve">. При назначении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="007F1DD0">
        <w:rPr>
          <w:bCs/>
          <w:caps/>
          <w:sz w:val="24"/>
          <w:szCs w:val="24"/>
        </w:rPr>
        <w:t xml:space="preserve"> </w:t>
      </w:r>
      <w:r w:rsidRPr="009C3B63">
        <w:rPr>
          <w:rFonts w:eastAsia="Arial Unicode MS"/>
          <w:sz w:val="28"/>
          <w:szCs w:val="28"/>
        </w:rPr>
        <w:t>пациентам с ВИЧ, принимающим ингибиторы протеазы</w:t>
      </w:r>
      <w:r w:rsidR="00A91188" w:rsidRPr="009C3B63">
        <w:rPr>
          <w:rFonts w:eastAsia="Arial Unicode MS"/>
          <w:sz w:val="28"/>
          <w:szCs w:val="28"/>
        </w:rPr>
        <w:t>,</w:t>
      </w:r>
      <w:r w:rsidRPr="009C3B63">
        <w:rPr>
          <w:rFonts w:eastAsia="Arial Unicode MS"/>
          <w:sz w:val="28"/>
          <w:szCs w:val="28"/>
        </w:rPr>
        <w:t xml:space="preserve"> следует учитывать как пользу от снижения уровня липидов, так и потенциал для повышения концентрации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 xml:space="preserve"> в плазме крови в начале и при титрации доз</w:t>
      </w:r>
      <w:r w:rsidR="009D07FD" w:rsidRPr="009C3B63">
        <w:rPr>
          <w:rFonts w:eastAsia="Arial Unicode MS"/>
          <w:sz w:val="28"/>
          <w:szCs w:val="28"/>
        </w:rPr>
        <w:t xml:space="preserve"> препарата</w:t>
      </w:r>
      <w:r w:rsidR="007F1DD0">
        <w:rPr>
          <w:rFonts w:eastAsia="Arial Unicode MS"/>
          <w:sz w:val="28"/>
          <w:szCs w:val="28"/>
        </w:rPr>
        <w:t xml:space="preserve">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Pr="009C3B63">
        <w:rPr>
          <w:rFonts w:eastAsia="Arial Unicode MS"/>
          <w:sz w:val="28"/>
          <w:szCs w:val="28"/>
        </w:rPr>
        <w:t xml:space="preserve">. Сопутствующий прием ингибиторов протеазы не рекомендуется, до тех </w:t>
      </w:r>
      <w:proofErr w:type="gramStart"/>
      <w:r w:rsidRPr="009C3B63">
        <w:rPr>
          <w:rFonts w:eastAsia="Arial Unicode MS"/>
          <w:sz w:val="28"/>
          <w:szCs w:val="28"/>
        </w:rPr>
        <w:t>пор</w:t>
      </w:r>
      <w:proofErr w:type="gramEnd"/>
      <w:r w:rsidRPr="009C3B63">
        <w:rPr>
          <w:rFonts w:eastAsia="Arial Unicode MS"/>
          <w:sz w:val="28"/>
          <w:szCs w:val="28"/>
        </w:rPr>
        <w:t xml:space="preserve"> пока не будет выполнена корректировка дозы препарата</w:t>
      </w:r>
      <w:r w:rsidR="007F1DD0">
        <w:rPr>
          <w:rFonts w:eastAsia="Arial Unicode MS"/>
          <w:sz w:val="28"/>
          <w:szCs w:val="28"/>
        </w:rPr>
        <w:t xml:space="preserve"> </w:t>
      </w:r>
      <w:r w:rsidR="00F57E6B" w:rsidRPr="00082743">
        <w:rPr>
          <w:bCs/>
          <w:caps/>
          <w:sz w:val="24"/>
          <w:szCs w:val="24"/>
        </w:rPr>
        <w:t>[</w:t>
      </w:r>
      <w:r w:rsidR="00F57E6B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F57E6B" w:rsidRPr="00082743">
        <w:rPr>
          <w:bCs/>
          <w:caps/>
          <w:sz w:val="24"/>
          <w:szCs w:val="24"/>
        </w:rPr>
        <w:t>]</w:t>
      </w:r>
      <w:r w:rsidRPr="009C3B63">
        <w:rPr>
          <w:rFonts w:eastAsia="Arial Unicode MS"/>
          <w:sz w:val="28"/>
          <w:szCs w:val="28"/>
        </w:rPr>
        <w:t>.</w:t>
      </w:r>
    </w:p>
    <w:p w:rsidR="00C26159" w:rsidRPr="009C3B63" w:rsidRDefault="00C26159" w:rsidP="009C3B63">
      <w:pPr>
        <w:jc w:val="both"/>
        <w:rPr>
          <w:rFonts w:eastAsia="Arial Unicode MS"/>
          <w:i/>
          <w:sz w:val="28"/>
          <w:szCs w:val="28"/>
        </w:rPr>
      </w:pPr>
      <w:r w:rsidRPr="009C3B63">
        <w:rPr>
          <w:rFonts w:eastAsia="Arial Unicode MS"/>
          <w:i/>
          <w:sz w:val="28"/>
          <w:szCs w:val="28"/>
        </w:rPr>
        <w:t>Непереносимость лактозы</w:t>
      </w:r>
    </w:p>
    <w:p w:rsidR="00C26159" w:rsidRPr="009C3B63" w:rsidRDefault="00C26159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Пациенты с редкими наследственными заболеваниями непереносимости галактозы, </w:t>
      </w:r>
      <w:r w:rsidR="007F1DD0" w:rsidRPr="007F1DD0">
        <w:rPr>
          <w:rFonts w:eastAsia="Arial Unicode MS"/>
          <w:sz w:val="28"/>
          <w:szCs w:val="28"/>
        </w:rPr>
        <w:t xml:space="preserve">дефицитом фермента </w:t>
      </w:r>
      <w:proofErr w:type="spellStart"/>
      <w:r w:rsidR="007F1DD0" w:rsidRPr="007F1DD0">
        <w:rPr>
          <w:rFonts w:eastAsia="Arial Unicode MS"/>
          <w:sz w:val="28"/>
          <w:szCs w:val="28"/>
        </w:rPr>
        <w:t>Lapp</w:t>
      </w:r>
      <w:proofErr w:type="spellEnd"/>
      <w:r w:rsidR="007F1DD0" w:rsidRPr="007F1DD0">
        <w:rPr>
          <w:rFonts w:eastAsia="Arial Unicode MS"/>
          <w:sz w:val="28"/>
          <w:szCs w:val="28"/>
        </w:rPr>
        <w:t xml:space="preserve"> (ЛАПП</w:t>
      </w:r>
      <w:proofErr w:type="gramStart"/>
      <w:r w:rsidR="007F1DD0" w:rsidRPr="007F1DD0">
        <w:rPr>
          <w:rFonts w:eastAsia="Arial Unicode MS"/>
          <w:sz w:val="28"/>
          <w:szCs w:val="28"/>
        </w:rPr>
        <w:t>)-</w:t>
      </w:r>
      <w:proofErr w:type="spellStart"/>
      <w:proofErr w:type="gramEnd"/>
      <w:r w:rsidR="007F1DD0" w:rsidRPr="007F1DD0">
        <w:rPr>
          <w:rFonts w:eastAsia="Arial Unicode MS"/>
          <w:sz w:val="28"/>
          <w:szCs w:val="28"/>
        </w:rPr>
        <w:t>лактазы</w:t>
      </w:r>
      <w:proofErr w:type="spellEnd"/>
      <w:r w:rsidR="007F1DD0" w:rsidRPr="007F1DD0">
        <w:rPr>
          <w:rFonts w:eastAsia="Arial Unicode MS"/>
          <w:sz w:val="28"/>
          <w:szCs w:val="28"/>
        </w:rPr>
        <w:t xml:space="preserve">, </w:t>
      </w:r>
      <w:proofErr w:type="spellStart"/>
      <w:r w:rsidR="007F1DD0" w:rsidRPr="007F1DD0">
        <w:rPr>
          <w:rFonts w:eastAsia="Arial Unicode MS"/>
          <w:sz w:val="28"/>
          <w:szCs w:val="28"/>
        </w:rPr>
        <w:t>мальабсорбцией</w:t>
      </w:r>
      <w:proofErr w:type="spellEnd"/>
      <w:r w:rsidR="007F1DD0" w:rsidRPr="007F1DD0">
        <w:rPr>
          <w:rFonts w:eastAsia="Arial Unicode MS"/>
          <w:sz w:val="28"/>
          <w:szCs w:val="28"/>
        </w:rPr>
        <w:t xml:space="preserve"> глюкозы-галактозы</w:t>
      </w:r>
      <w:r w:rsidRPr="009C3B63">
        <w:rPr>
          <w:rFonts w:eastAsia="Arial Unicode MS"/>
          <w:sz w:val="28"/>
          <w:szCs w:val="28"/>
        </w:rPr>
        <w:t xml:space="preserve"> не должны принимать </w:t>
      </w:r>
      <w:r w:rsidR="00F57E6B" w:rsidRPr="00082743">
        <w:rPr>
          <w:bCs/>
          <w:caps/>
          <w:sz w:val="24"/>
          <w:szCs w:val="24"/>
        </w:rPr>
        <w:t>[</w:t>
      </w:r>
      <w:r w:rsidR="00F57E6B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F57E6B" w:rsidRPr="00082743">
        <w:rPr>
          <w:bCs/>
          <w:caps/>
          <w:sz w:val="24"/>
          <w:szCs w:val="24"/>
        </w:rPr>
        <w:t>]</w:t>
      </w:r>
      <w:r w:rsidRPr="009C3B63">
        <w:rPr>
          <w:rFonts w:eastAsia="Arial Unicode MS"/>
          <w:sz w:val="28"/>
          <w:szCs w:val="28"/>
        </w:rPr>
        <w:t>.</w:t>
      </w:r>
    </w:p>
    <w:p w:rsidR="00C26159" w:rsidRPr="009C3B63" w:rsidRDefault="00C26159" w:rsidP="009C3B63">
      <w:pPr>
        <w:jc w:val="both"/>
        <w:rPr>
          <w:rFonts w:eastAsia="Arial Unicode MS"/>
          <w:i/>
          <w:sz w:val="28"/>
          <w:szCs w:val="28"/>
        </w:rPr>
      </w:pPr>
      <w:r w:rsidRPr="009C3B63">
        <w:rPr>
          <w:rFonts w:eastAsia="Arial Unicode MS"/>
          <w:i/>
          <w:sz w:val="28"/>
          <w:szCs w:val="28"/>
        </w:rPr>
        <w:t>Интерстициальное заболевание легких</w:t>
      </w:r>
    </w:p>
    <w:p w:rsidR="00C26159" w:rsidRPr="009C3B63" w:rsidRDefault="00C26159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При применении </w:t>
      </w:r>
      <w:proofErr w:type="spellStart"/>
      <w:r w:rsidRPr="009C3B63">
        <w:rPr>
          <w:rFonts w:eastAsia="Arial Unicode MS"/>
          <w:sz w:val="28"/>
          <w:szCs w:val="28"/>
        </w:rPr>
        <w:t>статинов</w:t>
      </w:r>
      <w:proofErr w:type="spellEnd"/>
      <w:r w:rsidRPr="009C3B63">
        <w:rPr>
          <w:rFonts w:eastAsia="Arial Unicode MS"/>
          <w:sz w:val="28"/>
          <w:szCs w:val="28"/>
        </w:rPr>
        <w:t xml:space="preserve"> сообщалось о разовых случаях интерстициального заболевания легких, особенно, когда проводилась длительная терапия. Описываемые признаки могут включать одышку, сухой кашель и общее ухудшение состояния (усталость, потерю веса и лихорадку). Если имеются подозрения на развитие у пациента  интерстициального заболевания легких, терапию </w:t>
      </w:r>
      <w:proofErr w:type="spellStart"/>
      <w:r w:rsidRPr="009C3B63">
        <w:rPr>
          <w:rFonts w:eastAsia="Arial Unicode MS"/>
          <w:sz w:val="28"/>
          <w:szCs w:val="28"/>
        </w:rPr>
        <w:t>статинами</w:t>
      </w:r>
      <w:proofErr w:type="spellEnd"/>
      <w:r w:rsidRPr="009C3B63">
        <w:rPr>
          <w:rFonts w:eastAsia="Arial Unicode MS"/>
          <w:sz w:val="28"/>
          <w:szCs w:val="28"/>
        </w:rPr>
        <w:t xml:space="preserve"> нужно прекратить.</w:t>
      </w:r>
    </w:p>
    <w:p w:rsidR="00C26159" w:rsidRPr="009C3B63" w:rsidRDefault="00C26159" w:rsidP="009C3B63">
      <w:pPr>
        <w:jc w:val="both"/>
        <w:rPr>
          <w:rFonts w:eastAsia="Arial Unicode MS"/>
          <w:i/>
          <w:sz w:val="28"/>
          <w:szCs w:val="28"/>
        </w:rPr>
      </w:pPr>
      <w:r w:rsidRPr="009C3B63">
        <w:rPr>
          <w:rFonts w:eastAsia="Arial Unicode MS"/>
          <w:i/>
          <w:sz w:val="28"/>
          <w:szCs w:val="28"/>
        </w:rPr>
        <w:t>Сахарный диабет 2-го типа</w:t>
      </w:r>
    </w:p>
    <w:p w:rsidR="00C26159" w:rsidRPr="009C3B63" w:rsidRDefault="00C26159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Некоторые данные свидетельствуют о том, что </w:t>
      </w:r>
      <w:proofErr w:type="spellStart"/>
      <w:r w:rsidRPr="009C3B63">
        <w:rPr>
          <w:rFonts w:eastAsia="Arial Unicode MS"/>
          <w:sz w:val="28"/>
          <w:szCs w:val="28"/>
        </w:rPr>
        <w:t>статины</w:t>
      </w:r>
      <w:proofErr w:type="spellEnd"/>
      <w:r w:rsidRPr="009C3B63">
        <w:rPr>
          <w:rFonts w:eastAsia="Arial Unicode MS"/>
          <w:sz w:val="28"/>
          <w:szCs w:val="28"/>
        </w:rPr>
        <w:t xml:space="preserve"> как класс повышают уровень глюкозы в крови, и у некоторых пациентов увеличивают риск развития диабета в будущем, может возникать гипергликемия</w:t>
      </w:r>
      <w:r w:rsidR="00502229" w:rsidRPr="009C3B63">
        <w:rPr>
          <w:rFonts w:eastAsia="Arial Unicode MS"/>
          <w:sz w:val="28"/>
          <w:szCs w:val="28"/>
        </w:rPr>
        <w:t>,</w:t>
      </w:r>
      <w:r w:rsidRPr="009C3B63">
        <w:rPr>
          <w:rFonts w:eastAsia="Arial Unicode MS"/>
          <w:sz w:val="28"/>
          <w:szCs w:val="28"/>
        </w:rPr>
        <w:t xml:space="preserve"> когда </w:t>
      </w:r>
      <w:r w:rsidR="00A91188" w:rsidRPr="009C3B63">
        <w:rPr>
          <w:rFonts w:eastAsia="Arial Unicode MS"/>
          <w:sz w:val="28"/>
          <w:szCs w:val="28"/>
        </w:rPr>
        <w:t xml:space="preserve">лечение </w:t>
      </w:r>
      <w:r w:rsidRPr="009C3B63">
        <w:rPr>
          <w:rFonts w:eastAsia="Arial Unicode MS"/>
          <w:sz w:val="28"/>
          <w:szCs w:val="28"/>
        </w:rPr>
        <w:t xml:space="preserve">диабета не инициировано. Однако снижение риска сосудистых заболеваний при лечении </w:t>
      </w:r>
      <w:proofErr w:type="spellStart"/>
      <w:r w:rsidRPr="009C3B63">
        <w:rPr>
          <w:rFonts w:eastAsia="Arial Unicode MS"/>
          <w:sz w:val="28"/>
          <w:szCs w:val="28"/>
        </w:rPr>
        <w:t>статинами</w:t>
      </w:r>
      <w:proofErr w:type="spellEnd"/>
      <w:r w:rsidRPr="009C3B63">
        <w:rPr>
          <w:rFonts w:eastAsia="Arial Unicode MS"/>
          <w:sz w:val="28"/>
          <w:szCs w:val="28"/>
        </w:rPr>
        <w:t xml:space="preserve"> превышает риск увеличения уровня глюкозы, и поэтому не является причиной прекращения терапии </w:t>
      </w:r>
      <w:proofErr w:type="spellStart"/>
      <w:r w:rsidRPr="009C3B63">
        <w:rPr>
          <w:rFonts w:eastAsia="Arial Unicode MS"/>
          <w:sz w:val="28"/>
          <w:szCs w:val="28"/>
        </w:rPr>
        <w:t>статинами</w:t>
      </w:r>
      <w:proofErr w:type="spellEnd"/>
      <w:r w:rsidRPr="009C3B63">
        <w:rPr>
          <w:rFonts w:eastAsia="Arial Unicode MS"/>
          <w:sz w:val="28"/>
          <w:szCs w:val="28"/>
        </w:rPr>
        <w:t xml:space="preserve">. У пациентов с уровнем глюкозы в крови натощак 5,6 – 6,9 </w:t>
      </w:r>
      <w:proofErr w:type="spellStart"/>
      <w:r w:rsidRPr="009C3B63">
        <w:rPr>
          <w:rFonts w:eastAsia="Arial Unicode MS"/>
          <w:sz w:val="28"/>
          <w:szCs w:val="28"/>
        </w:rPr>
        <w:t>ммоль</w:t>
      </w:r>
      <w:proofErr w:type="spellEnd"/>
      <w:r w:rsidRPr="009C3B63">
        <w:rPr>
          <w:rFonts w:eastAsia="Arial Unicode MS"/>
          <w:sz w:val="28"/>
          <w:szCs w:val="28"/>
        </w:rPr>
        <w:t xml:space="preserve">/л, лечение </w:t>
      </w:r>
      <w:proofErr w:type="spellStart"/>
      <w:r w:rsidRPr="009C3B63">
        <w:rPr>
          <w:rFonts w:eastAsia="Arial Unicode MS"/>
          <w:sz w:val="28"/>
          <w:szCs w:val="28"/>
        </w:rPr>
        <w:t>розувастатином</w:t>
      </w:r>
      <w:proofErr w:type="spellEnd"/>
      <w:r w:rsidRPr="009C3B63">
        <w:rPr>
          <w:rFonts w:eastAsia="Arial Unicode MS"/>
          <w:sz w:val="28"/>
          <w:szCs w:val="28"/>
        </w:rPr>
        <w:t xml:space="preserve"> связывалось с повышенным риском заболевания сахарным диабетом.</w:t>
      </w:r>
    </w:p>
    <w:p w:rsidR="00C26159" w:rsidRPr="009C3B63" w:rsidRDefault="00C26159" w:rsidP="009C3B63">
      <w:pPr>
        <w:jc w:val="both"/>
        <w:rPr>
          <w:rFonts w:eastAsia="Arial Unicode MS"/>
          <w:i/>
          <w:sz w:val="28"/>
          <w:szCs w:val="28"/>
        </w:rPr>
      </w:pPr>
      <w:r w:rsidRPr="009C3B63">
        <w:rPr>
          <w:rFonts w:eastAsia="Arial Unicode MS"/>
          <w:i/>
          <w:sz w:val="28"/>
          <w:szCs w:val="28"/>
        </w:rPr>
        <w:t>Применение в педиатрической практике</w:t>
      </w:r>
    </w:p>
    <w:p w:rsidR="00C26159" w:rsidRPr="009C3B63" w:rsidRDefault="00C26159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Оценка линейного роста (рост), массы тела, ИМТ (индекса массы тела) и вторичных характеристик полового созревания по </w:t>
      </w:r>
      <w:r w:rsidR="00502229" w:rsidRPr="009C3B63">
        <w:rPr>
          <w:rFonts w:eastAsia="Arial Unicode MS"/>
          <w:sz w:val="28"/>
          <w:szCs w:val="28"/>
        </w:rPr>
        <w:t xml:space="preserve">шкале </w:t>
      </w:r>
      <w:proofErr w:type="spellStart"/>
      <w:r w:rsidRPr="009C3B63">
        <w:rPr>
          <w:rFonts w:eastAsia="Arial Unicode MS"/>
          <w:sz w:val="28"/>
          <w:szCs w:val="28"/>
        </w:rPr>
        <w:t>Таннера</w:t>
      </w:r>
      <w:proofErr w:type="spellEnd"/>
      <w:r w:rsidRPr="009C3B63">
        <w:rPr>
          <w:rFonts w:eastAsia="Arial Unicode MS"/>
          <w:sz w:val="28"/>
          <w:szCs w:val="28"/>
        </w:rPr>
        <w:t xml:space="preserve"> у детей в </w:t>
      </w:r>
      <w:r w:rsidRPr="009C3B63">
        <w:rPr>
          <w:rFonts w:eastAsia="Arial Unicode MS"/>
          <w:sz w:val="28"/>
          <w:szCs w:val="28"/>
        </w:rPr>
        <w:lastRenderedPageBreak/>
        <w:t xml:space="preserve">возрасте от 6 до 17 лет, принимающих </w:t>
      </w:r>
      <w:proofErr w:type="spellStart"/>
      <w:r w:rsidRPr="009C3B63">
        <w:rPr>
          <w:rFonts w:eastAsia="Arial Unicode MS"/>
          <w:sz w:val="28"/>
          <w:szCs w:val="28"/>
        </w:rPr>
        <w:t>розувастатин</w:t>
      </w:r>
      <w:proofErr w:type="spellEnd"/>
      <w:r w:rsidRPr="009C3B63">
        <w:rPr>
          <w:rFonts w:eastAsia="Arial Unicode MS"/>
          <w:sz w:val="28"/>
          <w:szCs w:val="28"/>
        </w:rPr>
        <w:t>, ограничивается двухлетним периодом. После двух лет получения препарата не было обнаружено влияния на рост, вес, ИМТ и половое созревание.</w:t>
      </w:r>
    </w:p>
    <w:p w:rsidR="00B833B1" w:rsidRPr="009C3B63" w:rsidRDefault="002B2E50" w:rsidP="009C3B63">
      <w:pPr>
        <w:jc w:val="both"/>
        <w:rPr>
          <w:i/>
          <w:sz w:val="28"/>
          <w:szCs w:val="28"/>
        </w:rPr>
      </w:pPr>
      <w:r w:rsidRPr="009C3B63">
        <w:rPr>
          <w:i/>
          <w:sz w:val="28"/>
          <w:szCs w:val="28"/>
        </w:rPr>
        <w:t>Во время</w:t>
      </w:r>
      <w:r w:rsidR="00B833B1" w:rsidRPr="009C3B63">
        <w:rPr>
          <w:i/>
          <w:sz w:val="28"/>
          <w:szCs w:val="28"/>
        </w:rPr>
        <w:t xml:space="preserve"> беременности и</w:t>
      </w:r>
      <w:r w:rsidRPr="009C3B63">
        <w:rPr>
          <w:i/>
          <w:sz w:val="28"/>
          <w:szCs w:val="28"/>
        </w:rPr>
        <w:t>ли</w:t>
      </w:r>
      <w:r w:rsidR="00B833B1" w:rsidRPr="009C3B63">
        <w:rPr>
          <w:i/>
          <w:sz w:val="28"/>
          <w:szCs w:val="28"/>
        </w:rPr>
        <w:t xml:space="preserve"> лактации</w:t>
      </w:r>
    </w:p>
    <w:p w:rsidR="001F0642" w:rsidRPr="009C3B63" w:rsidRDefault="001F0642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Препарат </w:t>
      </w:r>
      <w:r w:rsidR="00F57E6B" w:rsidRPr="00082743">
        <w:rPr>
          <w:bCs/>
          <w:caps/>
          <w:sz w:val="24"/>
          <w:szCs w:val="24"/>
        </w:rPr>
        <w:t>[</w:t>
      </w:r>
      <w:r w:rsidR="00F57E6B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F57E6B" w:rsidRPr="00082743">
        <w:rPr>
          <w:bCs/>
          <w:caps/>
          <w:sz w:val="24"/>
          <w:szCs w:val="24"/>
        </w:rPr>
        <w:t>]</w:t>
      </w:r>
      <w:r w:rsidR="007F1DD0">
        <w:rPr>
          <w:bCs/>
          <w:caps/>
          <w:sz w:val="24"/>
          <w:szCs w:val="24"/>
        </w:rPr>
        <w:t xml:space="preserve"> </w:t>
      </w:r>
      <w:r w:rsidRPr="009C3B63">
        <w:rPr>
          <w:sz w:val="28"/>
          <w:szCs w:val="28"/>
        </w:rPr>
        <w:t>противопоказан женщинам в период беременности и в период грудного вскармливания.</w:t>
      </w:r>
    </w:p>
    <w:p w:rsidR="0056722A" w:rsidRPr="009C3B63" w:rsidRDefault="0056722A" w:rsidP="009C3B63">
      <w:pPr>
        <w:jc w:val="both"/>
        <w:rPr>
          <w:i/>
          <w:iCs/>
          <w:spacing w:val="-13"/>
          <w:sz w:val="28"/>
          <w:szCs w:val="28"/>
        </w:rPr>
      </w:pPr>
      <w:r w:rsidRPr="009C3B63">
        <w:rPr>
          <w:i/>
          <w:iCs/>
          <w:spacing w:val="-13"/>
          <w:sz w:val="28"/>
          <w:szCs w:val="28"/>
        </w:rPr>
        <w:t>Особенности влияния лекарственного средства на способность управлять транспортным средством или потенциально опасными механизмами</w:t>
      </w:r>
    </w:p>
    <w:p w:rsidR="00595679" w:rsidRPr="009C3B63" w:rsidRDefault="001F0642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>При управлении автомобилем или работе с механизмами нужно учитывать, что во время терапии может возникать головокружение.</w:t>
      </w:r>
    </w:p>
    <w:p w:rsidR="001F0642" w:rsidRPr="009C3B63" w:rsidRDefault="001F0642" w:rsidP="009C3B63">
      <w:pPr>
        <w:jc w:val="both"/>
        <w:rPr>
          <w:sz w:val="28"/>
          <w:szCs w:val="28"/>
        </w:rPr>
      </w:pPr>
    </w:p>
    <w:p w:rsidR="00B13911" w:rsidRPr="009C3B63" w:rsidRDefault="00B13911" w:rsidP="009C3B63">
      <w:pPr>
        <w:ind w:right="226"/>
        <w:jc w:val="both"/>
        <w:rPr>
          <w:b/>
          <w:bCs/>
          <w:sz w:val="28"/>
          <w:szCs w:val="28"/>
        </w:rPr>
      </w:pPr>
      <w:r w:rsidRPr="009C3B63">
        <w:rPr>
          <w:b/>
          <w:bCs/>
          <w:sz w:val="28"/>
          <w:szCs w:val="28"/>
        </w:rPr>
        <w:t>Рекомендации по применению</w:t>
      </w:r>
    </w:p>
    <w:p w:rsidR="00383730" w:rsidRPr="009C3B63" w:rsidRDefault="00383730" w:rsidP="009C3B63">
      <w:pPr>
        <w:ind w:right="226"/>
        <w:jc w:val="both"/>
        <w:rPr>
          <w:bCs/>
          <w:sz w:val="28"/>
          <w:szCs w:val="28"/>
        </w:rPr>
      </w:pPr>
      <w:bookmarkStart w:id="4" w:name="_Hlk14357854"/>
      <w:r w:rsidRPr="009C3B63">
        <w:rPr>
          <w:bCs/>
          <w:sz w:val="28"/>
          <w:szCs w:val="28"/>
        </w:rPr>
        <w:t xml:space="preserve">До начала и во время терапии препаратом </w:t>
      </w:r>
      <w:r w:rsidR="00F57E6B" w:rsidRPr="00082743">
        <w:rPr>
          <w:bCs/>
          <w:caps/>
          <w:sz w:val="24"/>
          <w:szCs w:val="24"/>
        </w:rPr>
        <w:t>[</w:t>
      </w:r>
      <w:r w:rsidR="00F57E6B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F57E6B" w:rsidRPr="00082743">
        <w:rPr>
          <w:bCs/>
          <w:caps/>
          <w:sz w:val="24"/>
          <w:szCs w:val="24"/>
        </w:rPr>
        <w:t>]</w:t>
      </w:r>
      <w:r w:rsidRPr="009C3B63">
        <w:rPr>
          <w:bCs/>
          <w:sz w:val="28"/>
          <w:szCs w:val="28"/>
        </w:rPr>
        <w:t xml:space="preserve"> пациент должен соблюдать стандартную </w:t>
      </w:r>
      <w:proofErr w:type="spellStart"/>
      <w:r w:rsidRPr="009C3B63">
        <w:rPr>
          <w:bCs/>
          <w:sz w:val="28"/>
          <w:szCs w:val="28"/>
        </w:rPr>
        <w:t>гиполипидемическую</w:t>
      </w:r>
      <w:proofErr w:type="spellEnd"/>
      <w:r w:rsidRPr="009C3B63">
        <w:rPr>
          <w:bCs/>
          <w:sz w:val="28"/>
          <w:szCs w:val="28"/>
        </w:rPr>
        <w:t xml:space="preserve"> диету. </w:t>
      </w:r>
    </w:p>
    <w:p w:rsidR="00040FCD" w:rsidRPr="009C3B63" w:rsidRDefault="002B2E50" w:rsidP="009C3B63">
      <w:pPr>
        <w:ind w:right="226"/>
        <w:jc w:val="both"/>
        <w:rPr>
          <w:b/>
          <w:i/>
          <w:sz w:val="28"/>
          <w:szCs w:val="28"/>
        </w:rPr>
      </w:pPr>
      <w:r w:rsidRPr="009C3B63">
        <w:rPr>
          <w:b/>
          <w:i/>
          <w:sz w:val="28"/>
          <w:szCs w:val="28"/>
        </w:rPr>
        <w:t xml:space="preserve">Режим дозирования </w:t>
      </w:r>
      <w:bookmarkEnd w:id="4"/>
    </w:p>
    <w:p w:rsidR="00383730" w:rsidRPr="009C3B63" w:rsidRDefault="00383730" w:rsidP="009C3B63">
      <w:pPr>
        <w:ind w:right="226"/>
        <w:jc w:val="both"/>
        <w:rPr>
          <w:bCs/>
          <w:iCs/>
          <w:sz w:val="28"/>
          <w:szCs w:val="28"/>
        </w:rPr>
      </w:pPr>
      <w:r w:rsidRPr="009C3B63">
        <w:rPr>
          <w:bCs/>
          <w:iCs/>
          <w:sz w:val="28"/>
          <w:szCs w:val="28"/>
        </w:rPr>
        <w:t>Доза препарата должна подбираться индивидуально в зависимости от целей терапии и ответа на лечение.</w:t>
      </w:r>
    </w:p>
    <w:p w:rsidR="00383730" w:rsidRPr="009C3B63" w:rsidRDefault="00383730" w:rsidP="009C3B63">
      <w:pPr>
        <w:jc w:val="both"/>
        <w:rPr>
          <w:rFonts w:eastAsia="Arial Unicode MS"/>
          <w:i/>
          <w:sz w:val="28"/>
          <w:szCs w:val="28"/>
          <w:u w:val="single"/>
        </w:rPr>
      </w:pPr>
      <w:r w:rsidRPr="009C3B63">
        <w:rPr>
          <w:rFonts w:eastAsia="Arial Unicode MS"/>
          <w:i/>
          <w:sz w:val="28"/>
          <w:szCs w:val="28"/>
          <w:u w:val="single"/>
        </w:rPr>
        <w:t xml:space="preserve">Лечение </w:t>
      </w:r>
      <w:proofErr w:type="spellStart"/>
      <w:r w:rsidRPr="009C3B63">
        <w:rPr>
          <w:rFonts w:eastAsia="Arial Unicode MS"/>
          <w:i/>
          <w:sz w:val="28"/>
          <w:szCs w:val="28"/>
          <w:u w:val="single"/>
        </w:rPr>
        <w:t>гиперхолестеринемии</w:t>
      </w:r>
      <w:proofErr w:type="spellEnd"/>
    </w:p>
    <w:p w:rsidR="00383730" w:rsidRPr="009C3B63" w:rsidRDefault="00383730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>Рекомендуемая начальная доза для пациентов, начинающих принимать препарат, или для пациентов, переведенных с приема других ингибиторов ГМГ-</w:t>
      </w:r>
      <w:proofErr w:type="spellStart"/>
      <w:r w:rsidRPr="009C3B63">
        <w:rPr>
          <w:rFonts w:eastAsia="Arial Unicode MS"/>
          <w:sz w:val="28"/>
          <w:szCs w:val="28"/>
        </w:rPr>
        <w:t>КоА</w:t>
      </w:r>
      <w:proofErr w:type="spellEnd"/>
      <w:r w:rsidRPr="009C3B63">
        <w:rPr>
          <w:rFonts w:eastAsia="Arial Unicode MS"/>
          <w:sz w:val="28"/>
          <w:szCs w:val="28"/>
        </w:rPr>
        <w:t>-</w:t>
      </w:r>
      <w:proofErr w:type="spellStart"/>
      <w:r w:rsidRPr="009C3B63">
        <w:rPr>
          <w:rFonts w:eastAsia="Arial Unicode MS"/>
          <w:sz w:val="28"/>
          <w:szCs w:val="28"/>
        </w:rPr>
        <w:t>редуктазы</w:t>
      </w:r>
      <w:proofErr w:type="spellEnd"/>
      <w:r w:rsidRPr="009C3B63">
        <w:rPr>
          <w:rFonts w:eastAsia="Arial Unicode MS"/>
          <w:sz w:val="28"/>
          <w:szCs w:val="28"/>
        </w:rPr>
        <w:t xml:space="preserve">, должна составлять 5 или 10 мг препарата </w:t>
      </w:r>
      <w:r w:rsidR="00F57E6B" w:rsidRPr="00082743">
        <w:rPr>
          <w:bCs/>
          <w:caps/>
          <w:sz w:val="24"/>
          <w:szCs w:val="24"/>
        </w:rPr>
        <w:t>[</w:t>
      </w:r>
      <w:r w:rsidR="00F57E6B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F57E6B" w:rsidRPr="00082743">
        <w:rPr>
          <w:bCs/>
          <w:caps/>
          <w:sz w:val="24"/>
          <w:szCs w:val="24"/>
        </w:rPr>
        <w:t>]</w:t>
      </w:r>
      <w:r w:rsidR="007F1DD0">
        <w:rPr>
          <w:bCs/>
          <w:caps/>
          <w:sz w:val="24"/>
          <w:szCs w:val="24"/>
        </w:rPr>
        <w:t xml:space="preserve"> </w:t>
      </w:r>
      <w:r w:rsidRPr="009C3B63">
        <w:rPr>
          <w:rFonts w:eastAsia="Arial Unicode MS"/>
          <w:sz w:val="28"/>
          <w:szCs w:val="28"/>
        </w:rPr>
        <w:t xml:space="preserve">1 раз в сутки. При выборе начальной дозы следует руководствоваться уровнем содержания холестерина и принимать во внимание возможный риск </w:t>
      </w:r>
      <w:proofErr w:type="gramStart"/>
      <w:r w:rsidRPr="009C3B63">
        <w:rPr>
          <w:rFonts w:eastAsia="Arial Unicode MS"/>
          <w:sz w:val="28"/>
          <w:szCs w:val="28"/>
        </w:rPr>
        <w:t>сердечно-сосудистых</w:t>
      </w:r>
      <w:proofErr w:type="gramEnd"/>
      <w:r w:rsidRPr="009C3B63">
        <w:rPr>
          <w:rFonts w:eastAsia="Arial Unicode MS"/>
          <w:sz w:val="28"/>
          <w:szCs w:val="28"/>
        </w:rPr>
        <w:t xml:space="preserve"> осложнений, а также необходимо оценивать потенциальный риск развития побочных эффектов.  В случае  необходимости, доза может быть увеличена после 4 недель приема препарата. Дозу препарата повышать постепенно. </w:t>
      </w:r>
    </w:p>
    <w:p w:rsidR="00383730" w:rsidRPr="009C3B63" w:rsidRDefault="00383730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В связи с возможным развитием побочных эффектов при приёме дозы 40 мг, повышение дозы до максимальной 40 мг может рассматриваться только у пациентов с тяжелой </w:t>
      </w:r>
      <w:proofErr w:type="spellStart"/>
      <w:r w:rsidRPr="009C3B63">
        <w:rPr>
          <w:rFonts w:eastAsia="Arial Unicode MS"/>
          <w:sz w:val="28"/>
          <w:szCs w:val="28"/>
        </w:rPr>
        <w:t>гиперхолестеринемией</w:t>
      </w:r>
      <w:proofErr w:type="spellEnd"/>
      <w:r w:rsidRPr="009C3B63">
        <w:rPr>
          <w:rFonts w:eastAsia="Arial Unicode MS"/>
          <w:sz w:val="28"/>
          <w:szCs w:val="28"/>
        </w:rPr>
        <w:t xml:space="preserve"> и с высоким риском сердечно-сосудистых осложнений (особенно у пациентов с семейной </w:t>
      </w:r>
      <w:proofErr w:type="spellStart"/>
      <w:r w:rsidRPr="009C3B63">
        <w:rPr>
          <w:rFonts w:eastAsia="Arial Unicode MS"/>
          <w:sz w:val="28"/>
          <w:szCs w:val="28"/>
        </w:rPr>
        <w:t>гиперхолестеринемией</w:t>
      </w:r>
      <w:proofErr w:type="spellEnd"/>
      <w:r w:rsidRPr="009C3B63">
        <w:rPr>
          <w:rFonts w:eastAsia="Arial Unicode MS"/>
          <w:sz w:val="28"/>
          <w:szCs w:val="28"/>
        </w:rPr>
        <w:t xml:space="preserve">), у которых не </w:t>
      </w:r>
      <w:proofErr w:type="gramStart"/>
      <w:r w:rsidRPr="009C3B63">
        <w:rPr>
          <w:rFonts w:eastAsia="Arial Unicode MS"/>
          <w:sz w:val="28"/>
          <w:szCs w:val="28"/>
        </w:rPr>
        <w:t>был</w:t>
      </w:r>
      <w:proofErr w:type="gramEnd"/>
      <w:r w:rsidRPr="009C3B63">
        <w:rPr>
          <w:rFonts w:eastAsia="Arial Unicode MS"/>
          <w:sz w:val="28"/>
          <w:szCs w:val="28"/>
        </w:rPr>
        <w:t xml:space="preserve"> достигнут желаемый результат терапии при приёме дозы 20 мг. Рекомендуется наблюдение за пациентами, получающими препарат в дозе 40 мг. 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3B63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Профилактика </w:t>
      </w:r>
      <w:proofErr w:type="gramStart"/>
      <w:r w:rsidRPr="009C3B63">
        <w:rPr>
          <w:rFonts w:ascii="Times New Roman" w:hAnsi="Times New Roman" w:cs="Times New Roman"/>
          <w:i/>
          <w:sz w:val="28"/>
          <w:szCs w:val="28"/>
          <w:u w:val="single"/>
        </w:rPr>
        <w:t>сердечно-сосудистых</w:t>
      </w:r>
      <w:proofErr w:type="gramEnd"/>
      <w:r w:rsidRPr="009C3B63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осложнений у взрослых пациентов с повышенным риском развития</w:t>
      </w:r>
      <w:r w:rsidR="007F1DD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C3B63">
        <w:rPr>
          <w:rFonts w:ascii="Times New Roman" w:hAnsi="Times New Roman" w:cs="Times New Roman"/>
          <w:i/>
          <w:sz w:val="28"/>
          <w:szCs w:val="28"/>
          <w:u w:val="single"/>
        </w:rPr>
        <w:t xml:space="preserve">сердечно-сосудистого заболевания в качестве вспомогательной терапии 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3B63">
        <w:rPr>
          <w:rFonts w:ascii="Times New Roman" w:hAnsi="Times New Roman" w:cs="Times New Roman"/>
          <w:sz w:val="28"/>
          <w:szCs w:val="28"/>
        </w:rPr>
        <w:t>Рекомендуемая доза - 20 мг один раз в сутки.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B63">
        <w:rPr>
          <w:rFonts w:ascii="Times New Roman" w:eastAsia="Arial Unicode MS" w:hAnsi="Times New Roman" w:cs="Times New Roman"/>
          <w:sz w:val="28"/>
          <w:szCs w:val="28"/>
        </w:rPr>
        <w:t xml:space="preserve">Не рекомендуется назначение дозы 40 мг пациентам, ранее не принимавшим препарат. После 2-4 недель терапии и/или при повышении дозы </w:t>
      </w:r>
      <w:r w:rsidR="00F57E6B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F57E6B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F57E6B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9C3B63">
        <w:rPr>
          <w:rFonts w:ascii="Times New Roman" w:eastAsia="Arial Unicode MS" w:hAnsi="Times New Roman" w:cs="Times New Roman"/>
          <w:sz w:val="28"/>
          <w:szCs w:val="28"/>
        </w:rPr>
        <w:t xml:space="preserve"> необходим контроль показателей липидного обмена (при необходимости требуется коррекция дозы).</w:t>
      </w:r>
    </w:p>
    <w:p w:rsidR="0045290E" w:rsidRPr="009C3B63" w:rsidRDefault="0045290E" w:rsidP="009C3B63">
      <w:pPr>
        <w:ind w:right="226"/>
        <w:jc w:val="both"/>
        <w:rPr>
          <w:b/>
          <w:bCs/>
          <w:i/>
          <w:iCs/>
          <w:sz w:val="28"/>
          <w:szCs w:val="28"/>
        </w:rPr>
      </w:pPr>
      <w:r w:rsidRPr="009C3B63">
        <w:rPr>
          <w:b/>
          <w:bCs/>
          <w:i/>
          <w:iCs/>
          <w:sz w:val="28"/>
          <w:szCs w:val="28"/>
        </w:rPr>
        <w:t>Особые группы пациентов</w:t>
      </w:r>
    </w:p>
    <w:p w:rsidR="00383730" w:rsidRPr="009C3B63" w:rsidRDefault="00383730" w:rsidP="009C3B63">
      <w:pPr>
        <w:pStyle w:val="1"/>
        <w:jc w:val="both"/>
        <w:rPr>
          <w:i/>
          <w:szCs w:val="28"/>
        </w:rPr>
      </w:pPr>
      <w:r w:rsidRPr="009C3B63">
        <w:rPr>
          <w:i/>
          <w:szCs w:val="28"/>
        </w:rPr>
        <w:t>Пациенты детского возраста</w:t>
      </w:r>
    </w:p>
    <w:p w:rsidR="00383730" w:rsidRPr="009C3B63" w:rsidRDefault="00383730" w:rsidP="009C3B63">
      <w:pPr>
        <w:pStyle w:val="a3"/>
        <w:rPr>
          <w:szCs w:val="28"/>
        </w:rPr>
      </w:pPr>
      <w:r w:rsidRPr="009C3B63">
        <w:rPr>
          <w:szCs w:val="28"/>
        </w:rPr>
        <w:t xml:space="preserve">Применение </w:t>
      </w:r>
      <w:r w:rsidR="00502229" w:rsidRPr="009C3B63">
        <w:rPr>
          <w:szCs w:val="28"/>
        </w:rPr>
        <w:t>у детей возможно</w:t>
      </w:r>
      <w:r w:rsidRPr="009C3B63">
        <w:rPr>
          <w:szCs w:val="28"/>
        </w:rPr>
        <w:t xml:space="preserve"> только под наблюдением врача.</w:t>
      </w:r>
    </w:p>
    <w:p w:rsidR="00383730" w:rsidRPr="009C3B63" w:rsidRDefault="00383730" w:rsidP="009C3B63">
      <w:pPr>
        <w:pStyle w:val="a3"/>
        <w:ind w:right="329"/>
        <w:rPr>
          <w:i/>
          <w:szCs w:val="28"/>
        </w:rPr>
      </w:pPr>
      <w:r w:rsidRPr="009C3B63">
        <w:rPr>
          <w:i/>
          <w:szCs w:val="28"/>
        </w:rPr>
        <w:lastRenderedPageBreak/>
        <w:t>Дети и подростки в возрасте от 6 до 17 лет (</w:t>
      </w:r>
      <w:r w:rsidR="00A91188" w:rsidRPr="009C3B63">
        <w:rPr>
          <w:i/>
          <w:szCs w:val="28"/>
        </w:rPr>
        <w:t xml:space="preserve">шкала </w:t>
      </w:r>
      <w:proofErr w:type="spellStart"/>
      <w:r w:rsidRPr="009C3B63">
        <w:rPr>
          <w:i/>
          <w:szCs w:val="28"/>
        </w:rPr>
        <w:t>Таннера</w:t>
      </w:r>
      <w:proofErr w:type="spellEnd"/>
      <w:r w:rsidRPr="009C3B63">
        <w:rPr>
          <w:i/>
          <w:szCs w:val="28"/>
        </w:rPr>
        <w:t xml:space="preserve">&lt; II–V) </w:t>
      </w:r>
    </w:p>
    <w:p w:rsidR="00383730" w:rsidRPr="009C3B63" w:rsidRDefault="00383730" w:rsidP="009C3B63">
      <w:pPr>
        <w:pStyle w:val="a3"/>
        <w:ind w:right="329"/>
        <w:rPr>
          <w:i/>
          <w:szCs w:val="28"/>
        </w:rPr>
      </w:pPr>
      <w:r w:rsidRPr="009C3B63">
        <w:rPr>
          <w:i/>
          <w:szCs w:val="28"/>
        </w:rPr>
        <w:t xml:space="preserve">Гетерозиготная семейная </w:t>
      </w:r>
      <w:proofErr w:type="spellStart"/>
      <w:r w:rsidRPr="009C3B63">
        <w:rPr>
          <w:i/>
          <w:szCs w:val="28"/>
        </w:rPr>
        <w:t>гиперхолестеринемия</w:t>
      </w:r>
      <w:proofErr w:type="spellEnd"/>
    </w:p>
    <w:p w:rsidR="00383730" w:rsidRPr="009C3B63" w:rsidRDefault="00383730" w:rsidP="009C3B63">
      <w:pPr>
        <w:pStyle w:val="a3"/>
        <w:ind w:right="187"/>
        <w:rPr>
          <w:szCs w:val="28"/>
        </w:rPr>
      </w:pPr>
      <w:r w:rsidRPr="009C3B63">
        <w:rPr>
          <w:szCs w:val="28"/>
        </w:rPr>
        <w:t xml:space="preserve">Для детей и подростков с </w:t>
      </w:r>
      <w:proofErr w:type="gramStart"/>
      <w:r w:rsidRPr="009C3B63">
        <w:rPr>
          <w:szCs w:val="28"/>
        </w:rPr>
        <w:t>гетерозиготной</w:t>
      </w:r>
      <w:proofErr w:type="gramEnd"/>
      <w:r w:rsidRPr="009C3B63">
        <w:rPr>
          <w:szCs w:val="28"/>
        </w:rPr>
        <w:t xml:space="preserve"> семейной </w:t>
      </w:r>
      <w:proofErr w:type="spellStart"/>
      <w:r w:rsidRPr="009C3B63">
        <w:rPr>
          <w:szCs w:val="28"/>
        </w:rPr>
        <w:t>гиперхолестеринемией</w:t>
      </w:r>
      <w:proofErr w:type="spellEnd"/>
      <w:r w:rsidRPr="009C3B63">
        <w:rPr>
          <w:szCs w:val="28"/>
        </w:rPr>
        <w:t xml:space="preserve"> стандартная начальная доза составляет 5 мг.</w:t>
      </w:r>
    </w:p>
    <w:p w:rsidR="00383730" w:rsidRPr="009C3B63" w:rsidRDefault="00383730" w:rsidP="009C3B63">
      <w:pPr>
        <w:pStyle w:val="af4"/>
        <w:widowControl w:val="0"/>
        <w:tabs>
          <w:tab w:val="left" w:pos="593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9C3B63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C3B63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9C3B63">
        <w:rPr>
          <w:rFonts w:ascii="Times New Roman" w:hAnsi="Times New Roman"/>
          <w:sz w:val="28"/>
          <w:szCs w:val="28"/>
        </w:rPr>
        <w:t>детей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C3B63">
        <w:rPr>
          <w:rFonts w:ascii="Times New Roman" w:hAnsi="Times New Roman"/>
          <w:sz w:val="28"/>
          <w:szCs w:val="28"/>
        </w:rPr>
        <w:t>возрасте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от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9C3B63">
        <w:rPr>
          <w:rFonts w:ascii="Times New Roman" w:hAnsi="Times New Roman"/>
          <w:sz w:val="28"/>
          <w:szCs w:val="28"/>
        </w:rPr>
        <w:t>до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9 </w:t>
      </w:r>
      <w:proofErr w:type="spellStart"/>
      <w:r w:rsidRPr="009C3B63">
        <w:rPr>
          <w:rFonts w:ascii="Times New Roman" w:hAnsi="Times New Roman"/>
          <w:sz w:val="28"/>
          <w:szCs w:val="28"/>
        </w:rPr>
        <w:t>лет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с </w:t>
      </w:r>
      <w:proofErr w:type="spellStart"/>
      <w:proofErr w:type="gramStart"/>
      <w:r w:rsidRPr="009C3B63">
        <w:rPr>
          <w:rFonts w:ascii="Times New Roman" w:hAnsi="Times New Roman"/>
          <w:sz w:val="28"/>
          <w:szCs w:val="28"/>
        </w:rPr>
        <w:t>гетерозиготной</w:t>
      </w:r>
      <w:proofErr w:type="spellEnd"/>
      <w:proofErr w:type="gram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семейной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гиперхолестеринемией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стандартная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дозировка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составляет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5–10 </w:t>
      </w:r>
      <w:proofErr w:type="spellStart"/>
      <w:r w:rsidRPr="009C3B63">
        <w:rPr>
          <w:rFonts w:ascii="Times New Roman" w:hAnsi="Times New Roman"/>
          <w:sz w:val="28"/>
          <w:szCs w:val="28"/>
        </w:rPr>
        <w:t>мг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внутрь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один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раз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C3B63">
        <w:rPr>
          <w:rFonts w:ascii="Times New Roman" w:hAnsi="Times New Roman"/>
          <w:sz w:val="28"/>
          <w:szCs w:val="28"/>
        </w:rPr>
        <w:t>день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9C3B63">
        <w:rPr>
          <w:rFonts w:ascii="Times New Roman" w:hAnsi="Times New Roman"/>
          <w:sz w:val="28"/>
          <w:szCs w:val="28"/>
        </w:rPr>
        <w:t>Эффективность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C3B63">
        <w:rPr>
          <w:rFonts w:ascii="Times New Roman" w:hAnsi="Times New Roman"/>
          <w:sz w:val="28"/>
          <w:szCs w:val="28"/>
        </w:rPr>
        <w:t>безопасность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доз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3B63">
        <w:rPr>
          <w:rFonts w:ascii="Times New Roman" w:hAnsi="Times New Roman"/>
          <w:sz w:val="28"/>
          <w:szCs w:val="28"/>
        </w:rPr>
        <w:t>превышающих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9C3B63">
        <w:rPr>
          <w:rFonts w:ascii="Times New Roman" w:hAnsi="Times New Roman"/>
          <w:sz w:val="28"/>
          <w:szCs w:val="28"/>
        </w:rPr>
        <w:t>мг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3B63">
        <w:rPr>
          <w:rFonts w:ascii="Times New Roman" w:hAnsi="Times New Roman"/>
          <w:sz w:val="28"/>
          <w:szCs w:val="28"/>
        </w:rPr>
        <w:t>не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исследовалась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C3B63">
        <w:rPr>
          <w:rFonts w:ascii="Times New Roman" w:hAnsi="Times New Roman"/>
          <w:sz w:val="28"/>
          <w:szCs w:val="28"/>
        </w:rPr>
        <w:t>данной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1BDC" w:rsidRPr="009C3B63">
        <w:rPr>
          <w:rFonts w:ascii="Times New Roman" w:hAnsi="Times New Roman"/>
          <w:sz w:val="28"/>
          <w:szCs w:val="28"/>
        </w:rPr>
        <w:t>группы</w:t>
      </w:r>
      <w:proofErr w:type="spellEnd"/>
      <w:r w:rsidR="00471BDC"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1BDC" w:rsidRPr="009C3B63">
        <w:rPr>
          <w:rFonts w:ascii="Times New Roman" w:hAnsi="Times New Roman"/>
          <w:sz w:val="28"/>
          <w:szCs w:val="28"/>
        </w:rPr>
        <w:t>пациентов</w:t>
      </w:r>
      <w:proofErr w:type="spellEnd"/>
      <w:r w:rsidRPr="009C3B63">
        <w:rPr>
          <w:rFonts w:ascii="Times New Roman" w:hAnsi="Times New Roman"/>
          <w:sz w:val="28"/>
          <w:szCs w:val="28"/>
        </w:rPr>
        <w:t>.</w:t>
      </w:r>
      <w:proofErr w:type="gramEnd"/>
    </w:p>
    <w:p w:rsidR="00383730" w:rsidRPr="009C3B63" w:rsidRDefault="00383730" w:rsidP="009C3B63">
      <w:pPr>
        <w:pStyle w:val="af4"/>
        <w:widowControl w:val="0"/>
        <w:tabs>
          <w:tab w:val="left" w:pos="592"/>
          <w:tab w:val="left" w:pos="593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9C3B6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C3B63">
        <w:rPr>
          <w:rFonts w:ascii="Times New Roman" w:hAnsi="Times New Roman"/>
          <w:sz w:val="28"/>
          <w:szCs w:val="28"/>
        </w:rPr>
        <w:t>у</w:t>
      </w:r>
      <w:proofErr w:type="gram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детей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C3B63">
        <w:rPr>
          <w:rFonts w:ascii="Times New Roman" w:hAnsi="Times New Roman"/>
          <w:sz w:val="28"/>
          <w:szCs w:val="28"/>
        </w:rPr>
        <w:t>возрасте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от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9C3B63">
        <w:rPr>
          <w:rFonts w:ascii="Times New Roman" w:hAnsi="Times New Roman"/>
          <w:sz w:val="28"/>
          <w:szCs w:val="28"/>
        </w:rPr>
        <w:t>до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17 </w:t>
      </w:r>
      <w:proofErr w:type="spellStart"/>
      <w:r w:rsidRPr="009C3B63">
        <w:rPr>
          <w:rFonts w:ascii="Times New Roman" w:hAnsi="Times New Roman"/>
          <w:sz w:val="28"/>
          <w:szCs w:val="28"/>
        </w:rPr>
        <w:t>лет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9C3B63">
        <w:rPr>
          <w:rFonts w:ascii="Times New Roman" w:hAnsi="Times New Roman"/>
          <w:sz w:val="28"/>
          <w:szCs w:val="28"/>
        </w:rPr>
        <w:t>гетерозиготной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семейной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гиперхолестеринемией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стандартная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дозировка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составляет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5–20 </w:t>
      </w:r>
      <w:proofErr w:type="spellStart"/>
      <w:r w:rsidRPr="009C3B63">
        <w:rPr>
          <w:rFonts w:ascii="Times New Roman" w:hAnsi="Times New Roman"/>
          <w:sz w:val="28"/>
          <w:szCs w:val="28"/>
        </w:rPr>
        <w:t>мг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внутрь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один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раз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C3B63">
        <w:rPr>
          <w:rFonts w:ascii="Times New Roman" w:hAnsi="Times New Roman"/>
          <w:sz w:val="28"/>
          <w:szCs w:val="28"/>
        </w:rPr>
        <w:t>день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9C3B63">
        <w:rPr>
          <w:rFonts w:ascii="Times New Roman" w:hAnsi="Times New Roman"/>
          <w:sz w:val="28"/>
          <w:szCs w:val="28"/>
        </w:rPr>
        <w:t>Эффективность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C3B63">
        <w:rPr>
          <w:rFonts w:ascii="Times New Roman" w:hAnsi="Times New Roman"/>
          <w:sz w:val="28"/>
          <w:szCs w:val="28"/>
        </w:rPr>
        <w:t>безопасность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доз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3B63">
        <w:rPr>
          <w:rFonts w:ascii="Times New Roman" w:hAnsi="Times New Roman"/>
          <w:sz w:val="28"/>
          <w:szCs w:val="28"/>
        </w:rPr>
        <w:t>превышающих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20 </w:t>
      </w:r>
      <w:proofErr w:type="spellStart"/>
      <w:r w:rsidRPr="009C3B63">
        <w:rPr>
          <w:rFonts w:ascii="Times New Roman" w:hAnsi="Times New Roman"/>
          <w:sz w:val="28"/>
          <w:szCs w:val="28"/>
        </w:rPr>
        <w:t>мг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3B63">
        <w:rPr>
          <w:rFonts w:ascii="Times New Roman" w:hAnsi="Times New Roman"/>
          <w:sz w:val="28"/>
          <w:szCs w:val="28"/>
        </w:rPr>
        <w:t>не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исследовалась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C3B63">
        <w:rPr>
          <w:rFonts w:ascii="Times New Roman" w:hAnsi="Times New Roman"/>
          <w:sz w:val="28"/>
          <w:szCs w:val="28"/>
        </w:rPr>
        <w:t>данной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1E57" w:rsidRPr="009C3B63">
        <w:rPr>
          <w:rFonts w:ascii="Times New Roman" w:hAnsi="Times New Roman"/>
          <w:sz w:val="28"/>
          <w:szCs w:val="28"/>
        </w:rPr>
        <w:t>группы</w:t>
      </w:r>
      <w:proofErr w:type="spellEnd"/>
      <w:r w:rsidR="00D81E57"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1E57" w:rsidRPr="009C3B63">
        <w:rPr>
          <w:rFonts w:ascii="Times New Roman" w:hAnsi="Times New Roman"/>
          <w:sz w:val="28"/>
          <w:szCs w:val="28"/>
        </w:rPr>
        <w:t>пациентов</w:t>
      </w:r>
      <w:proofErr w:type="spellEnd"/>
      <w:r w:rsidRPr="009C3B63">
        <w:rPr>
          <w:rFonts w:ascii="Times New Roman" w:hAnsi="Times New Roman"/>
          <w:sz w:val="28"/>
          <w:szCs w:val="28"/>
        </w:rPr>
        <w:t>.</w:t>
      </w:r>
      <w:proofErr w:type="gramEnd"/>
    </w:p>
    <w:p w:rsidR="00383730" w:rsidRPr="009C3B63" w:rsidRDefault="00383730" w:rsidP="009C3B63">
      <w:pPr>
        <w:pStyle w:val="a3"/>
        <w:tabs>
          <w:tab w:val="left" w:pos="8931"/>
        </w:tabs>
        <w:ind w:right="-1"/>
        <w:rPr>
          <w:szCs w:val="28"/>
        </w:rPr>
      </w:pPr>
      <w:r w:rsidRPr="009C3B63">
        <w:rPr>
          <w:szCs w:val="28"/>
        </w:rPr>
        <w:t>Титрование следует проводить в соответствии с индивидуальным ответом и переносимостью у пациентов детского возраста согласно рекомендациям по лечению детей</w:t>
      </w:r>
      <w:r w:rsidR="00993E68" w:rsidRPr="009C3B63">
        <w:rPr>
          <w:szCs w:val="28"/>
        </w:rPr>
        <w:t xml:space="preserve">. </w:t>
      </w:r>
      <w:r w:rsidRPr="009C3B63">
        <w:rPr>
          <w:szCs w:val="28"/>
        </w:rPr>
        <w:t>Дети и подростки должны соблюдать стандартную гипохолестеринемическу</w:t>
      </w:r>
      <w:r w:rsidR="00A06607" w:rsidRPr="009C3B63">
        <w:rPr>
          <w:szCs w:val="28"/>
        </w:rPr>
        <w:t>ю</w:t>
      </w:r>
      <w:r w:rsidRPr="009C3B63">
        <w:rPr>
          <w:szCs w:val="28"/>
        </w:rPr>
        <w:t xml:space="preserve"> диету до начала приема и на протяжении лечения </w:t>
      </w:r>
      <w:proofErr w:type="spellStart"/>
      <w:r w:rsidRPr="009C3B63">
        <w:rPr>
          <w:szCs w:val="28"/>
        </w:rPr>
        <w:t>розувастатином</w:t>
      </w:r>
      <w:proofErr w:type="spellEnd"/>
      <w:r w:rsidRPr="009C3B63">
        <w:rPr>
          <w:szCs w:val="28"/>
        </w:rPr>
        <w:t>.</w:t>
      </w:r>
    </w:p>
    <w:p w:rsidR="00383730" w:rsidRPr="009C3B63" w:rsidRDefault="00383730" w:rsidP="009C3B63">
      <w:pPr>
        <w:pStyle w:val="a3"/>
        <w:rPr>
          <w:i/>
          <w:szCs w:val="28"/>
          <w:u w:val="single"/>
        </w:rPr>
      </w:pPr>
      <w:r w:rsidRPr="009C3B63">
        <w:rPr>
          <w:i/>
          <w:szCs w:val="28"/>
          <w:u w:val="single"/>
        </w:rPr>
        <w:t xml:space="preserve">Гомозиготная семейная </w:t>
      </w:r>
      <w:proofErr w:type="spellStart"/>
      <w:r w:rsidRPr="009C3B63">
        <w:rPr>
          <w:i/>
          <w:szCs w:val="28"/>
          <w:u w:val="single"/>
        </w:rPr>
        <w:t>гиперхолестеринемия</w:t>
      </w:r>
      <w:proofErr w:type="spellEnd"/>
    </w:p>
    <w:p w:rsidR="00383730" w:rsidRPr="009C3B63" w:rsidRDefault="00383730" w:rsidP="009C3B63">
      <w:pPr>
        <w:pStyle w:val="a3"/>
        <w:ind w:right="-1"/>
        <w:rPr>
          <w:szCs w:val="28"/>
        </w:rPr>
      </w:pPr>
      <w:r w:rsidRPr="009C3B63">
        <w:rPr>
          <w:szCs w:val="28"/>
        </w:rPr>
        <w:t xml:space="preserve">Для детей и подростков в возрасте от 6 до 17 лет с </w:t>
      </w:r>
      <w:proofErr w:type="gramStart"/>
      <w:r w:rsidRPr="009C3B63">
        <w:rPr>
          <w:szCs w:val="28"/>
        </w:rPr>
        <w:t>гомозиготной</w:t>
      </w:r>
      <w:proofErr w:type="gramEnd"/>
      <w:r w:rsidRPr="009C3B63">
        <w:rPr>
          <w:szCs w:val="28"/>
        </w:rPr>
        <w:t xml:space="preserve"> семейной </w:t>
      </w:r>
      <w:proofErr w:type="spellStart"/>
      <w:r w:rsidRPr="009C3B63">
        <w:rPr>
          <w:szCs w:val="28"/>
        </w:rPr>
        <w:t>гиперхолестеринемией</w:t>
      </w:r>
      <w:proofErr w:type="spellEnd"/>
      <w:r w:rsidRPr="009C3B63">
        <w:rPr>
          <w:szCs w:val="28"/>
        </w:rPr>
        <w:t xml:space="preserve"> рекомендованная максимальная доза составляет 20 мг внутрь один раз в день.</w:t>
      </w:r>
    </w:p>
    <w:p w:rsidR="00383730" w:rsidRPr="009C3B63" w:rsidRDefault="00383730" w:rsidP="009C3B63">
      <w:pPr>
        <w:pStyle w:val="a3"/>
        <w:ind w:right="-1"/>
        <w:rPr>
          <w:szCs w:val="28"/>
        </w:rPr>
      </w:pPr>
      <w:r w:rsidRPr="009C3B63">
        <w:rPr>
          <w:szCs w:val="28"/>
        </w:rPr>
        <w:t xml:space="preserve">Рекомендованная начальная доза составляет от 5 до 10 мг один раз в день, в зависимости от возраста, массы тела и предшествующего приема </w:t>
      </w:r>
      <w:proofErr w:type="spellStart"/>
      <w:r w:rsidRPr="009C3B63">
        <w:rPr>
          <w:szCs w:val="28"/>
        </w:rPr>
        <w:t>статинов</w:t>
      </w:r>
      <w:proofErr w:type="spellEnd"/>
      <w:r w:rsidRPr="009C3B63">
        <w:rPr>
          <w:szCs w:val="28"/>
        </w:rPr>
        <w:t>. Титрование до максимальной дозы 20 мг один раз в день следует проводить в соответствии с индивидуальным ответом и переносимостью у пациентов детского возраста. Дети и подростки должны соблюдать стандартную гипохолестеринемическу</w:t>
      </w:r>
      <w:r w:rsidR="00FF674C" w:rsidRPr="009C3B63">
        <w:rPr>
          <w:szCs w:val="28"/>
        </w:rPr>
        <w:t>ю</w:t>
      </w:r>
      <w:r w:rsidRPr="009C3B63">
        <w:rPr>
          <w:szCs w:val="28"/>
        </w:rPr>
        <w:t xml:space="preserve"> диету до начала приема </w:t>
      </w:r>
      <w:proofErr w:type="spellStart"/>
      <w:r w:rsidRPr="009C3B63">
        <w:rPr>
          <w:szCs w:val="28"/>
        </w:rPr>
        <w:t>розувастатина</w:t>
      </w:r>
      <w:proofErr w:type="spellEnd"/>
      <w:r w:rsidRPr="009C3B63">
        <w:rPr>
          <w:szCs w:val="28"/>
        </w:rPr>
        <w:t xml:space="preserve"> и на протяжении лечения </w:t>
      </w:r>
      <w:proofErr w:type="spellStart"/>
      <w:r w:rsidRPr="009C3B63">
        <w:rPr>
          <w:szCs w:val="28"/>
        </w:rPr>
        <w:t>розувастатином</w:t>
      </w:r>
      <w:proofErr w:type="spellEnd"/>
      <w:r w:rsidRPr="009C3B63">
        <w:rPr>
          <w:szCs w:val="28"/>
        </w:rPr>
        <w:t>.</w:t>
      </w:r>
    </w:p>
    <w:p w:rsidR="00383730" w:rsidRPr="009C3B63" w:rsidRDefault="00383730" w:rsidP="009C3B63">
      <w:pPr>
        <w:tabs>
          <w:tab w:val="left" w:pos="8931"/>
          <w:tab w:val="left" w:pos="9071"/>
        </w:tabs>
        <w:ind w:right="-1"/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Существует ограниченный опыт применения других доз </w:t>
      </w:r>
      <w:proofErr w:type="spellStart"/>
      <w:r w:rsidRPr="009C3B63">
        <w:rPr>
          <w:sz w:val="28"/>
          <w:szCs w:val="28"/>
        </w:rPr>
        <w:t>розувастатина</w:t>
      </w:r>
      <w:proofErr w:type="spellEnd"/>
      <w:r w:rsidRPr="009C3B63">
        <w:rPr>
          <w:sz w:val="28"/>
          <w:szCs w:val="28"/>
        </w:rPr>
        <w:t xml:space="preserve"> помимо 20 мг у данной популяции. </w:t>
      </w:r>
    </w:p>
    <w:p w:rsidR="00383730" w:rsidRPr="009C3B63" w:rsidRDefault="00383730" w:rsidP="009C3B63">
      <w:pPr>
        <w:pStyle w:val="a3"/>
        <w:rPr>
          <w:i/>
          <w:szCs w:val="28"/>
        </w:rPr>
      </w:pPr>
      <w:r w:rsidRPr="009C3B63">
        <w:rPr>
          <w:i/>
          <w:szCs w:val="28"/>
        </w:rPr>
        <w:t>Дети в возрасте младше 6 лет</w:t>
      </w:r>
    </w:p>
    <w:p w:rsidR="00383730" w:rsidRPr="009C3B63" w:rsidRDefault="00383730" w:rsidP="009C3B63">
      <w:pPr>
        <w:pStyle w:val="a3"/>
        <w:ind w:right="-1"/>
        <w:rPr>
          <w:szCs w:val="28"/>
        </w:rPr>
      </w:pPr>
      <w:r w:rsidRPr="009C3B63">
        <w:rPr>
          <w:szCs w:val="28"/>
        </w:rPr>
        <w:t xml:space="preserve">Исследование безопасности и эффективности у детей в возрасте младше 6 лет не проводилось, в </w:t>
      </w:r>
      <w:proofErr w:type="gramStart"/>
      <w:r w:rsidRPr="009C3B63">
        <w:rPr>
          <w:szCs w:val="28"/>
        </w:rPr>
        <w:t>связи</w:t>
      </w:r>
      <w:proofErr w:type="gramEnd"/>
      <w:r w:rsidRPr="009C3B63">
        <w:rPr>
          <w:szCs w:val="28"/>
        </w:rPr>
        <w:t xml:space="preserve">  с чем препарат </w:t>
      </w:r>
      <w:r w:rsidR="00F57E6B" w:rsidRPr="00082743">
        <w:rPr>
          <w:bCs/>
          <w:caps/>
          <w:sz w:val="24"/>
          <w:szCs w:val="24"/>
        </w:rPr>
        <w:t>[</w:t>
      </w:r>
      <w:r w:rsidR="00F57E6B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F57E6B" w:rsidRPr="00082743">
        <w:rPr>
          <w:bCs/>
          <w:caps/>
          <w:sz w:val="24"/>
          <w:szCs w:val="24"/>
        </w:rPr>
        <w:t>]</w:t>
      </w:r>
      <w:r w:rsidR="007F1DD0">
        <w:rPr>
          <w:bCs/>
          <w:caps/>
          <w:sz w:val="24"/>
          <w:szCs w:val="24"/>
        </w:rPr>
        <w:t xml:space="preserve"> </w:t>
      </w:r>
      <w:r w:rsidRPr="009C3B63">
        <w:rPr>
          <w:szCs w:val="28"/>
        </w:rPr>
        <w:t>не рекомендован для приема у детей младше 6 лет.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B63">
        <w:rPr>
          <w:rFonts w:ascii="Times New Roman" w:hAnsi="Times New Roman" w:cs="Times New Roman"/>
          <w:i/>
          <w:sz w:val="28"/>
          <w:szCs w:val="28"/>
        </w:rPr>
        <w:t>Пожилые  пациенты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3B63">
        <w:rPr>
          <w:rFonts w:ascii="Times New Roman" w:hAnsi="Times New Roman" w:cs="Times New Roman"/>
          <w:sz w:val="28"/>
          <w:szCs w:val="28"/>
        </w:rPr>
        <w:t>Не требуется коррекции дозы. Пациентам старше 70 лет рекомендуется начальная доза препарата 5 мг.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B63">
        <w:rPr>
          <w:rFonts w:ascii="Times New Roman" w:hAnsi="Times New Roman" w:cs="Times New Roman"/>
          <w:i/>
          <w:sz w:val="28"/>
          <w:szCs w:val="28"/>
        </w:rPr>
        <w:t>Пациенты с почечной недостаточностью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3B63">
        <w:rPr>
          <w:rFonts w:ascii="Times New Roman" w:hAnsi="Times New Roman" w:cs="Times New Roman"/>
          <w:sz w:val="28"/>
          <w:szCs w:val="28"/>
        </w:rPr>
        <w:t xml:space="preserve">У пациентов с почечной недостаточностью легкой или средней степени тяжести коррекция дозы не требуется, рекомендуемая начальная доза препарата 5 мг. У пациентов с умеренными нарушениями функции почек (клиренс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 менее 60 мл/мин) - применение препарата в дозировке 40 мг противопоказано. У пациентов с выраженной почечной недостаточностью (клиренс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 менее 30 мл/мин) - применение препарата  </w:t>
      </w:r>
      <w:r w:rsidR="00F57E6B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F57E6B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F57E6B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9C3B63">
        <w:rPr>
          <w:rFonts w:ascii="Times New Roman" w:hAnsi="Times New Roman" w:cs="Times New Roman"/>
          <w:sz w:val="28"/>
          <w:szCs w:val="28"/>
        </w:rPr>
        <w:t xml:space="preserve"> противопоказано. 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B6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Пациенты с печеночной недостаточностью  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3B63">
        <w:rPr>
          <w:rFonts w:ascii="Times New Roman" w:hAnsi="Times New Roman" w:cs="Times New Roman"/>
          <w:sz w:val="28"/>
          <w:szCs w:val="28"/>
        </w:rPr>
        <w:t xml:space="preserve">Не наблюдалось системного воздействия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розувастатина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 у субъектов с  баллами 7 и выше  по шкале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Чайлд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-Пью. Однако наблюдалось повышенное системное воздействие у субъектов с баллами 8 и 9 по шкале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Чайлд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-Пью. Для этой группы пациентов должна проводиться оценка функции почек. Опыт применения препарата у пациентов с баллом выше 9 по шкале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Чайлд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-Пью отсутствует. Препарат </w:t>
      </w:r>
      <w:r w:rsidR="00F57E6B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F57E6B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F57E6B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9C3B63">
        <w:rPr>
          <w:rFonts w:ascii="Times New Roman" w:hAnsi="Times New Roman" w:cs="Times New Roman"/>
          <w:sz w:val="28"/>
          <w:szCs w:val="28"/>
        </w:rPr>
        <w:t xml:space="preserve"> противопоказан пациентам с заболеванием печени в активной стадии. 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B63">
        <w:rPr>
          <w:rFonts w:ascii="Times New Roman" w:hAnsi="Times New Roman" w:cs="Times New Roman"/>
          <w:i/>
          <w:sz w:val="28"/>
          <w:szCs w:val="28"/>
        </w:rPr>
        <w:t>Особые популяции. Этнические группы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3B63">
        <w:rPr>
          <w:rFonts w:ascii="Times New Roman" w:hAnsi="Times New Roman" w:cs="Times New Roman"/>
          <w:sz w:val="28"/>
          <w:szCs w:val="28"/>
        </w:rPr>
        <w:t>Повышенное системное воздействие наблюдалось у пациентов азиатского происхождения.</w:t>
      </w:r>
      <w:r w:rsidR="007F1DD0">
        <w:rPr>
          <w:rFonts w:ascii="Times New Roman" w:hAnsi="Times New Roman" w:cs="Times New Roman"/>
          <w:sz w:val="28"/>
          <w:szCs w:val="28"/>
        </w:rPr>
        <w:t xml:space="preserve"> </w:t>
      </w:r>
      <w:r w:rsidRPr="009C3B63">
        <w:rPr>
          <w:rFonts w:ascii="Times New Roman" w:hAnsi="Times New Roman" w:cs="Times New Roman"/>
          <w:sz w:val="28"/>
          <w:szCs w:val="28"/>
        </w:rPr>
        <w:t>Рекомендуемая начальная доза для пациентов азиатской расы составляет 5 мг. Доза 40 мг противопоказана этой группе пациентов.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B63">
        <w:rPr>
          <w:rFonts w:ascii="Times New Roman" w:hAnsi="Times New Roman" w:cs="Times New Roman"/>
          <w:i/>
          <w:sz w:val="28"/>
          <w:szCs w:val="28"/>
        </w:rPr>
        <w:t>Генетические полиморфизмы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3B63">
        <w:rPr>
          <w:rFonts w:ascii="Times New Roman" w:hAnsi="Times New Roman" w:cs="Times New Roman"/>
          <w:sz w:val="28"/>
          <w:szCs w:val="28"/>
        </w:rPr>
        <w:t xml:space="preserve">Пациенты, имеющие генотипы SLCO1B1 (OATP1B1) c.521CC и ABCG2 c.421AA связаны с увеличением влияния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розувастатина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 (СКМ) по сравнению с SLCO1B1 c.521TT и ABCG2 c.421CC. Пациентам с генотипами c.521CC или c.421AA рекомендуется принимать минимальную ежедневную дозу </w:t>
      </w:r>
      <w:r w:rsidR="003963F5" w:rsidRPr="009C3B63">
        <w:rPr>
          <w:rFonts w:ascii="Times New Roman" w:hAnsi="Times New Roman" w:cs="Times New Roman"/>
          <w:sz w:val="28"/>
          <w:szCs w:val="28"/>
        </w:rPr>
        <w:t xml:space="preserve">препарата </w:t>
      </w:r>
      <w:bookmarkStart w:id="5" w:name="_Hlk34834875"/>
      <w:r w:rsidR="00F57E6B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F57E6B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F57E6B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bookmarkEnd w:id="5"/>
      <w:r w:rsidR="007F1DD0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 </w:t>
      </w:r>
      <w:r w:rsidRPr="009C3B63">
        <w:rPr>
          <w:rFonts w:ascii="Times New Roman" w:hAnsi="Times New Roman" w:cs="Times New Roman"/>
          <w:sz w:val="28"/>
          <w:szCs w:val="28"/>
        </w:rPr>
        <w:t>1 раз в день.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B63">
        <w:rPr>
          <w:rFonts w:ascii="Times New Roman" w:hAnsi="Times New Roman" w:cs="Times New Roman"/>
          <w:i/>
          <w:sz w:val="28"/>
          <w:szCs w:val="28"/>
        </w:rPr>
        <w:t>Пациенты, предрасположенные к миопатии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3B63">
        <w:rPr>
          <w:rFonts w:ascii="Times New Roman" w:hAnsi="Times New Roman" w:cs="Times New Roman"/>
          <w:sz w:val="28"/>
          <w:szCs w:val="28"/>
        </w:rPr>
        <w:t>Противопоказано назначение препарата в дозе 40 мг пациентам с факторами, предрасположенными к развитию миопатии. Рекомендуемая начальная доза для данной группы пациентов составляет 5 мг.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B63">
        <w:rPr>
          <w:rFonts w:ascii="Times New Roman" w:hAnsi="Times New Roman" w:cs="Times New Roman"/>
          <w:i/>
          <w:sz w:val="28"/>
          <w:szCs w:val="28"/>
        </w:rPr>
        <w:t>Сопутствующее лечение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Розувастатин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 представляет собой субстрат различных белков транспортеров (например, OATP1B1 и BCRP). Риск развития миопатии (включая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рабдомиолиз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) повышается при приеме препарата </w:t>
      </w:r>
      <w:r w:rsidR="00F57E6B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F57E6B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F57E6B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="007F1DD0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 </w:t>
      </w:r>
      <w:r w:rsidRPr="009C3B63">
        <w:rPr>
          <w:rFonts w:ascii="Times New Roman" w:hAnsi="Times New Roman" w:cs="Times New Roman"/>
          <w:sz w:val="28"/>
          <w:szCs w:val="28"/>
        </w:rPr>
        <w:t xml:space="preserve">совместно с лекарственными препаратами, которые могут повысить содержание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розувастатина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 в плазме крови вследствие взаимодействия с белками транспортеров (в т. ч.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циклоспорин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 и ингибиторы протеазы, включая комбинации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ритонавира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атазанавира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лопинавира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 и/или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типанавира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>). По возможности, следует рассмотреть применение альтернативных препаратов или возможность временного прекращения терапии препаратом</w:t>
      </w:r>
      <w:r w:rsidR="007F1DD0">
        <w:rPr>
          <w:rFonts w:ascii="Times New Roman" w:hAnsi="Times New Roman" w:cs="Times New Roman"/>
          <w:sz w:val="28"/>
          <w:szCs w:val="28"/>
        </w:rPr>
        <w:t xml:space="preserve"> </w:t>
      </w:r>
      <w:r w:rsidR="007737FC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7737FC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7737FC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9C3B63">
        <w:rPr>
          <w:rFonts w:ascii="Times New Roman" w:hAnsi="Times New Roman" w:cs="Times New Roman"/>
          <w:sz w:val="28"/>
          <w:szCs w:val="28"/>
        </w:rPr>
        <w:t xml:space="preserve">. В случаях, когда совместный прием этих лекарственных препаратов с препаратом </w:t>
      </w:r>
      <w:r w:rsidR="007737FC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7737FC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7737FC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="007F1DD0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 </w:t>
      </w:r>
      <w:r w:rsidRPr="009C3B63">
        <w:rPr>
          <w:rFonts w:ascii="Times New Roman" w:hAnsi="Times New Roman" w:cs="Times New Roman"/>
          <w:sz w:val="28"/>
          <w:szCs w:val="28"/>
        </w:rPr>
        <w:t xml:space="preserve">неизбежен, необходимо внимательно оценить пользу и риск такого совместного </w:t>
      </w:r>
      <w:proofErr w:type="gramStart"/>
      <w:r w:rsidRPr="009C3B63">
        <w:rPr>
          <w:rFonts w:ascii="Times New Roman" w:hAnsi="Times New Roman" w:cs="Times New Roman"/>
          <w:sz w:val="28"/>
          <w:szCs w:val="28"/>
        </w:rPr>
        <w:t>лечения</w:t>
      </w:r>
      <w:proofErr w:type="gramEnd"/>
      <w:r w:rsidRPr="009C3B63">
        <w:rPr>
          <w:rFonts w:ascii="Times New Roman" w:hAnsi="Times New Roman" w:cs="Times New Roman"/>
          <w:sz w:val="28"/>
          <w:szCs w:val="28"/>
        </w:rPr>
        <w:t xml:space="preserve"> и также корректировку дозировок.</w:t>
      </w:r>
    </w:p>
    <w:p w:rsidR="002B2E50" w:rsidRPr="009C3B63" w:rsidRDefault="002B2E50" w:rsidP="009C3B63">
      <w:pPr>
        <w:jc w:val="both"/>
        <w:rPr>
          <w:i/>
          <w:color w:val="000000"/>
          <w:sz w:val="28"/>
          <w:szCs w:val="28"/>
        </w:rPr>
      </w:pPr>
      <w:r w:rsidRPr="009C3B63">
        <w:rPr>
          <w:b/>
          <w:i/>
          <w:sz w:val="28"/>
          <w:szCs w:val="28"/>
        </w:rPr>
        <w:t>Метод и путь введения</w:t>
      </w:r>
    </w:p>
    <w:p w:rsidR="00BD1971" w:rsidRPr="009C3B63" w:rsidRDefault="00BD1971" w:rsidP="009C3B63">
      <w:pPr>
        <w:jc w:val="both"/>
        <w:rPr>
          <w:bCs/>
          <w:iCs/>
          <w:sz w:val="28"/>
          <w:szCs w:val="28"/>
        </w:rPr>
      </w:pPr>
      <w:r w:rsidRPr="009C3B63">
        <w:rPr>
          <w:bCs/>
          <w:iCs/>
          <w:sz w:val="28"/>
          <w:szCs w:val="28"/>
        </w:rPr>
        <w:t>Внутрь, не разжевывать и не измельчать таблетку, проглатывать целиком, запивая водой. Может назначаться независимо от приема пищи.</w:t>
      </w:r>
    </w:p>
    <w:p w:rsidR="0045290E" w:rsidRPr="009C3B63" w:rsidRDefault="0045290E" w:rsidP="009C3B63">
      <w:pPr>
        <w:jc w:val="both"/>
        <w:rPr>
          <w:i/>
          <w:sz w:val="28"/>
          <w:szCs w:val="28"/>
        </w:rPr>
      </w:pPr>
      <w:r w:rsidRPr="009C3B63">
        <w:rPr>
          <w:b/>
          <w:i/>
          <w:sz w:val="28"/>
          <w:szCs w:val="28"/>
        </w:rPr>
        <w:t>Меры, которые необходимо принять в случае передозировки</w:t>
      </w:r>
    </w:p>
    <w:p w:rsidR="00442CF8" w:rsidRPr="009C3B63" w:rsidRDefault="00442CF8" w:rsidP="009C3B63">
      <w:pPr>
        <w:jc w:val="both"/>
        <w:rPr>
          <w:sz w:val="28"/>
          <w:szCs w:val="28"/>
          <w:lang w:eastAsia="en-US"/>
        </w:rPr>
      </w:pPr>
      <w:bookmarkStart w:id="6" w:name="_Hlk14357884"/>
      <w:r w:rsidRPr="009C3B63">
        <w:rPr>
          <w:sz w:val="28"/>
          <w:szCs w:val="28"/>
          <w:lang w:eastAsia="en-US"/>
        </w:rPr>
        <w:t xml:space="preserve">У пациентов, получающих </w:t>
      </w:r>
      <w:r w:rsidR="00706B95" w:rsidRPr="00082743">
        <w:rPr>
          <w:bCs/>
          <w:caps/>
          <w:sz w:val="24"/>
          <w:szCs w:val="24"/>
        </w:rPr>
        <w:t>[</w:t>
      </w:r>
      <w:r w:rsidR="00706B95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706B95" w:rsidRPr="00082743">
        <w:rPr>
          <w:bCs/>
          <w:caps/>
          <w:sz w:val="24"/>
          <w:szCs w:val="24"/>
        </w:rPr>
        <w:t>]</w:t>
      </w:r>
      <w:r w:rsidR="00B547B9" w:rsidRPr="009C3B63">
        <w:rPr>
          <w:sz w:val="28"/>
          <w:szCs w:val="28"/>
          <w:lang w:eastAsia="en-US"/>
        </w:rPr>
        <w:t>,</w:t>
      </w:r>
      <w:r w:rsidR="007F1DD0">
        <w:rPr>
          <w:sz w:val="28"/>
          <w:szCs w:val="28"/>
          <w:lang w:eastAsia="en-US"/>
        </w:rPr>
        <w:t xml:space="preserve"> </w:t>
      </w:r>
      <w:r w:rsidRPr="009C3B63">
        <w:rPr>
          <w:sz w:val="28"/>
          <w:szCs w:val="28"/>
          <w:lang w:eastAsia="en-US"/>
        </w:rPr>
        <w:t>мо</w:t>
      </w:r>
      <w:r w:rsidR="00DE0929" w:rsidRPr="009C3B63">
        <w:rPr>
          <w:sz w:val="28"/>
          <w:szCs w:val="28"/>
          <w:lang w:eastAsia="en-US"/>
        </w:rPr>
        <w:t xml:space="preserve">гут </w:t>
      </w:r>
      <w:r w:rsidRPr="009C3B63">
        <w:rPr>
          <w:sz w:val="28"/>
          <w:szCs w:val="28"/>
          <w:lang w:eastAsia="en-US"/>
        </w:rPr>
        <w:t xml:space="preserve">наблюдаться </w:t>
      </w:r>
      <w:r w:rsidR="00DE0929" w:rsidRPr="009C3B63">
        <w:rPr>
          <w:sz w:val="28"/>
          <w:szCs w:val="28"/>
          <w:lang w:eastAsia="en-US"/>
        </w:rPr>
        <w:t>более выраженные симптомы побочных эффектов.</w:t>
      </w:r>
    </w:p>
    <w:p w:rsidR="00442CF8" w:rsidRPr="009C3B63" w:rsidRDefault="00442CF8" w:rsidP="009C3B63">
      <w:pPr>
        <w:jc w:val="both"/>
        <w:rPr>
          <w:sz w:val="28"/>
          <w:szCs w:val="28"/>
          <w:lang w:eastAsia="en-US"/>
        </w:rPr>
      </w:pPr>
      <w:r w:rsidRPr="009C3B63">
        <w:rPr>
          <w:i/>
          <w:sz w:val="28"/>
          <w:szCs w:val="28"/>
          <w:lang w:eastAsia="en-US"/>
        </w:rPr>
        <w:t>Лечение:</w:t>
      </w:r>
      <w:r w:rsidRPr="009C3B63">
        <w:rPr>
          <w:sz w:val="28"/>
          <w:szCs w:val="28"/>
          <w:lang w:eastAsia="en-US"/>
        </w:rPr>
        <w:t xml:space="preserve"> специфического лечения в случае передозировки препаратом не существует. В случае подозрения на передозировку следует начать </w:t>
      </w:r>
      <w:r w:rsidRPr="009C3B63">
        <w:rPr>
          <w:sz w:val="28"/>
          <w:szCs w:val="28"/>
          <w:lang w:eastAsia="en-US"/>
        </w:rPr>
        <w:lastRenderedPageBreak/>
        <w:t>симптоматическое лечение</w:t>
      </w:r>
      <w:r w:rsidR="00DE0929" w:rsidRPr="009C3B63">
        <w:rPr>
          <w:sz w:val="28"/>
          <w:szCs w:val="28"/>
        </w:rPr>
        <w:t xml:space="preserve"> и </w:t>
      </w:r>
      <w:r w:rsidR="00DE0929" w:rsidRPr="009C3B63">
        <w:rPr>
          <w:sz w:val="28"/>
          <w:szCs w:val="28"/>
          <w:lang w:eastAsia="en-US"/>
        </w:rPr>
        <w:t>поддерживающие мероприятия. Необходим контроль функции печени и уровня КФК. Маловероятно, что гемодиализ будет эффективен.</w:t>
      </w:r>
    </w:p>
    <w:bookmarkEnd w:id="6"/>
    <w:p w:rsidR="009B010B" w:rsidRPr="009C3B63" w:rsidRDefault="009B010B" w:rsidP="009C3B63">
      <w:pPr>
        <w:jc w:val="both"/>
        <w:rPr>
          <w:sz w:val="28"/>
          <w:szCs w:val="28"/>
          <w:lang w:val="be-BY"/>
        </w:rPr>
      </w:pPr>
    </w:p>
    <w:p w:rsidR="00FD6006" w:rsidRPr="009C3B63" w:rsidRDefault="00FD6006" w:rsidP="009C3B63">
      <w:pPr>
        <w:jc w:val="both"/>
        <w:rPr>
          <w:b/>
          <w:sz w:val="28"/>
          <w:szCs w:val="28"/>
        </w:rPr>
      </w:pPr>
      <w:r w:rsidRPr="009C3B63">
        <w:rPr>
          <w:b/>
          <w:sz w:val="28"/>
          <w:szCs w:val="28"/>
        </w:rPr>
        <w:t xml:space="preserve">Описание нежелательных реакций, которые проявляются при стандартном применении </w:t>
      </w:r>
      <w:r w:rsidR="00717358" w:rsidRPr="009C3B63">
        <w:rPr>
          <w:b/>
          <w:sz w:val="28"/>
          <w:szCs w:val="28"/>
        </w:rPr>
        <w:t xml:space="preserve">лекарственного препарата </w:t>
      </w:r>
      <w:r w:rsidRPr="009C3B63">
        <w:rPr>
          <w:b/>
          <w:sz w:val="28"/>
          <w:szCs w:val="28"/>
        </w:rPr>
        <w:t xml:space="preserve">и меры, которые следует принять в этом случае </w:t>
      </w:r>
    </w:p>
    <w:p w:rsidR="00447978" w:rsidRPr="009C3B63" w:rsidRDefault="00447978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Нежелательные явления при приеме препарата </w:t>
      </w:r>
      <w:r w:rsidR="00706B95" w:rsidRPr="00082743">
        <w:rPr>
          <w:bCs/>
          <w:caps/>
          <w:sz w:val="24"/>
          <w:szCs w:val="24"/>
        </w:rPr>
        <w:t>[</w:t>
      </w:r>
      <w:r w:rsidR="00706B95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706B95" w:rsidRPr="00082743">
        <w:rPr>
          <w:bCs/>
          <w:caps/>
          <w:sz w:val="24"/>
          <w:szCs w:val="24"/>
        </w:rPr>
        <w:t>]</w:t>
      </w:r>
      <w:r w:rsidRPr="009C3B63">
        <w:rPr>
          <w:sz w:val="28"/>
          <w:szCs w:val="28"/>
        </w:rPr>
        <w:t xml:space="preserve"> в целом носят легкий и временный характер. </w:t>
      </w:r>
    </w:p>
    <w:p w:rsidR="0044691D" w:rsidRPr="009C3B63" w:rsidRDefault="0044691D" w:rsidP="009C3B63">
      <w:pPr>
        <w:jc w:val="both"/>
        <w:rPr>
          <w:i/>
          <w:sz w:val="28"/>
          <w:szCs w:val="28"/>
        </w:rPr>
      </w:pPr>
      <w:r w:rsidRPr="009C3B63">
        <w:rPr>
          <w:i/>
          <w:sz w:val="28"/>
          <w:szCs w:val="28"/>
        </w:rPr>
        <w:t xml:space="preserve">Часто </w:t>
      </w:r>
    </w:p>
    <w:p w:rsidR="0044691D" w:rsidRPr="009C3B63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- головная боль, головокружение </w:t>
      </w:r>
    </w:p>
    <w:p w:rsidR="0044691D" w:rsidRPr="009C3B63" w:rsidRDefault="0044691D" w:rsidP="009C3B63">
      <w:pPr>
        <w:jc w:val="both"/>
        <w:rPr>
          <w:i/>
          <w:sz w:val="28"/>
          <w:szCs w:val="28"/>
        </w:rPr>
      </w:pPr>
      <w:r w:rsidRPr="009C3B63">
        <w:rPr>
          <w:i/>
          <w:sz w:val="28"/>
          <w:szCs w:val="28"/>
        </w:rPr>
        <w:t xml:space="preserve">- </w:t>
      </w:r>
      <w:r w:rsidR="006F037F" w:rsidRPr="009C3B63">
        <w:rPr>
          <w:sz w:val="28"/>
          <w:szCs w:val="28"/>
        </w:rPr>
        <w:t xml:space="preserve">запор, </w:t>
      </w:r>
      <w:r w:rsidRPr="009C3B63">
        <w:rPr>
          <w:sz w:val="28"/>
          <w:szCs w:val="28"/>
        </w:rPr>
        <w:t>тошнота, бол</w:t>
      </w:r>
      <w:r w:rsidR="006F037F" w:rsidRPr="009C3B63">
        <w:rPr>
          <w:sz w:val="28"/>
          <w:szCs w:val="28"/>
        </w:rPr>
        <w:t xml:space="preserve">ь в области </w:t>
      </w:r>
      <w:r w:rsidRPr="009C3B63">
        <w:rPr>
          <w:sz w:val="28"/>
          <w:szCs w:val="28"/>
        </w:rPr>
        <w:t>живот</w:t>
      </w:r>
      <w:r w:rsidR="006F037F" w:rsidRPr="009C3B63">
        <w:rPr>
          <w:sz w:val="28"/>
          <w:szCs w:val="28"/>
        </w:rPr>
        <w:t>а</w:t>
      </w:r>
    </w:p>
    <w:p w:rsidR="0044691D" w:rsidRPr="009C3B63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- миалгии </w:t>
      </w:r>
    </w:p>
    <w:p w:rsidR="0044691D" w:rsidRPr="009C3B63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>- астенический синдром</w:t>
      </w:r>
    </w:p>
    <w:p w:rsidR="0044691D" w:rsidRPr="009C3B63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- сахарный диабет </w:t>
      </w:r>
    </w:p>
    <w:p w:rsidR="0044691D" w:rsidRPr="009C3B63" w:rsidRDefault="0044691D" w:rsidP="009C3B63">
      <w:pPr>
        <w:jc w:val="both"/>
        <w:rPr>
          <w:i/>
          <w:sz w:val="28"/>
          <w:szCs w:val="28"/>
        </w:rPr>
      </w:pPr>
      <w:r w:rsidRPr="009C3B63">
        <w:rPr>
          <w:i/>
          <w:sz w:val="28"/>
          <w:szCs w:val="28"/>
        </w:rPr>
        <w:t>Нечасто</w:t>
      </w:r>
    </w:p>
    <w:p w:rsidR="0044691D" w:rsidRPr="009C3B63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>- зуд, сыпь, крапивница</w:t>
      </w:r>
    </w:p>
    <w:p w:rsidR="0044691D" w:rsidRPr="009C3B63" w:rsidRDefault="0044691D" w:rsidP="009C3B63">
      <w:pPr>
        <w:jc w:val="both"/>
        <w:rPr>
          <w:i/>
          <w:sz w:val="28"/>
          <w:szCs w:val="28"/>
        </w:rPr>
      </w:pPr>
      <w:r w:rsidRPr="009C3B63">
        <w:rPr>
          <w:i/>
          <w:sz w:val="28"/>
          <w:szCs w:val="28"/>
        </w:rPr>
        <w:t xml:space="preserve">Редко </w:t>
      </w:r>
    </w:p>
    <w:p w:rsidR="002510E5" w:rsidRPr="009C3B63" w:rsidRDefault="002510E5" w:rsidP="009C3B63">
      <w:pPr>
        <w:jc w:val="both"/>
        <w:rPr>
          <w:i/>
          <w:sz w:val="28"/>
          <w:szCs w:val="28"/>
        </w:rPr>
      </w:pPr>
      <w:r w:rsidRPr="009C3B63">
        <w:rPr>
          <w:sz w:val="28"/>
          <w:szCs w:val="28"/>
        </w:rPr>
        <w:t>- тромбоцитопения</w:t>
      </w:r>
    </w:p>
    <w:p w:rsidR="007F1DD0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- реакции повышенной чувствительности, включая </w:t>
      </w:r>
      <w:proofErr w:type="gramStart"/>
      <w:r w:rsidRPr="009C3B63">
        <w:rPr>
          <w:sz w:val="28"/>
          <w:szCs w:val="28"/>
        </w:rPr>
        <w:t>ангионевротический</w:t>
      </w:r>
      <w:proofErr w:type="gramEnd"/>
      <w:r w:rsidRPr="009C3B63">
        <w:rPr>
          <w:sz w:val="28"/>
          <w:szCs w:val="28"/>
        </w:rPr>
        <w:t xml:space="preserve"> </w:t>
      </w:r>
    </w:p>
    <w:p w:rsidR="0044691D" w:rsidRPr="009C3B63" w:rsidRDefault="007F1DD0" w:rsidP="009C3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691D" w:rsidRPr="009C3B63">
        <w:rPr>
          <w:sz w:val="28"/>
          <w:szCs w:val="28"/>
        </w:rPr>
        <w:t>отек</w:t>
      </w:r>
    </w:p>
    <w:p w:rsidR="007F1DD0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>- миопатия</w:t>
      </w:r>
      <w:r w:rsidR="006F037F" w:rsidRPr="009C3B63">
        <w:rPr>
          <w:sz w:val="28"/>
          <w:szCs w:val="28"/>
        </w:rPr>
        <w:t xml:space="preserve"> (включая миозит)</w:t>
      </w:r>
      <w:r w:rsidRPr="009C3B63">
        <w:rPr>
          <w:sz w:val="28"/>
          <w:szCs w:val="28"/>
        </w:rPr>
        <w:t xml:space="preserve">, </w:t>
      </w:r>
      <w:proofErr w:type="spellStart"/>
      <w:r w:rsidR="00A41FD2" w:rsidRPr="009C3B63">
        <w:rPr>
          <w:sz w:val="28"/>
          <w:szCs w:val="28"/>
        </w:rPr>
        <w:t>рабдомиолиз</w:t>
      </w:r>
      <w:proofErr w:type="spellEnd"/>
      <w:r w:rsidR="00A41FD2" w:rsidRPr="009C3B63">
        <w:rPr>
          <w:sz w:val="28"/>
          <w:szCs w:val="28"/>
        </w:rPr>
        <w:t xml:space="preserve">, </w:t>
      </w:r>
      <w:proofErr w:type="spellStart"/>
      <w:r w:rsidR="00A41FD2" w:rsidRPr="009C3B63">
        <w:rPr>
          <w:sz w:val="28"/>
          <w:szCs w:val="28"/>
        </w:rPr>
        <w:t>волчаночноподобный</w:t>
      </w:r>
      <w:proofErr w:type="spellEnd"/>
      <w:r w:rsidR="00A41FD2" w:rsidRPr="009C3B63">
        <w:rPr>
          <w:sz w:val="28"/>
          <w:szCs w:val="28"/>
        </w:rPr>
        <w:t xml:space="preserve"> </w:t>
      </w:r>
    </w:p>
    <w:p w:rsidR="0044691D" w:rsidRPr="009C3B63" w:rsidRDefault="007F1DD0" w:rsidP="009C3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1FD2" w:rsidRPr="009C3B63">
        <w:rPr>
          <w:sz w:val="28"/>
          <w:szCs w:val="28"/>
        </w:rPr>
        <w:t>синдром, разрыв мышц</w:t>
      </w:r>
    </w:p>
    <w:p w:rsidR="0044691D" w:rsidRPr="009C3B63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- повышение уровня </w:t>
      </w:r>
      <w:proofErr w:type="gramStart"/>
      <w:r w:rsidRPr="009C3B63">
        <w:rPr>
          <w:sz w:val="28"/>
          <w:szCs w:val="28"/>
        </w:rPr>
        <w:t>печеночных</w:t>
      </w:r>
      <w:proofErr w:type="gramEnd"/>
      <w:r w:rsidRPr="009C3B63">
        <w:rPr>
          <w:sz w:val="28"/>
          <w:szCs w:val="28"/>
        </w:rPr>
        <w:t xml:space="preserve"> </w:t>
      </w:r>
      <w:proofErr w:type="spellStart"/>
      <w:r w:rsidRPr="009C3B63">
        <w:rPr>
          <w:sz w:val="28"/>
          <w:szCs w:val="28"/>
        </w:rPr>
        <w:t>трансаминаз</w:t>
      </w:r>
      <w:proofErr w:type="spellEnd"/>
      <w:r w:rsidRPr="009C3B63">
        <w:rPr>
          <w:sz w:val="28"/>
          <w:szCs w:val="28"/>
        </w:rPr>
        <w:t>, панкреатит</w:t>
      </w:r>
    </w:p>
    <w:p w:rsidR="0044691D" w:rsidRPr="009C3B63" w:rsidRDefault="0044691D" w:rsidP="009C3B63">
      <w:pPr>
        <w:jc w:val="both"/>
        <w:rPr>
          <w:i/>
          <w:sz w:val="28"/>
          <w:szCs w:val="28"/>
        </w:rPr>
      </w:pPr>
      <w:r w:rsidRPr="009C3B63">
        <w:rPr>
          <w:i/>
          <w:sz w:val="28"/>
          <w:szCs w:val="28"/>
        </w:rPr>
        <w:t xml:space="preserve">Очень редко </w:t>
      </w:r>
    </w:p>
    <w:p w:rsidR="0044691D" w:rsidRPr="009C3B63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>- желтуха, гепатит</w:t>
      </w:r>
    </w:p>
    <w:p w:rsidR="0044691D" w:rsidRPr="009C3B63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- </w:t>
      </w:r>
      <w:proofErr w:type="spellStart"/>
      <w:r w:rsidRPr="009C3B63">
        <w:rPr>
          <w:sz w:val="28"/>
          <w:szCs w:val="28"/>
        </w:rPr>
        <w:t>полинейропатия</w:t>
      </w:r>
      <w:proofErr w:type="spellEnd"/>
    </w:p>
    <w:p w:rsidR="0044691D" w:rsidRPr="009C3B63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>- потеря памяти</w:t>
      </w:r>
    </w:p>
    <w:p w:rsidR="0044691D" w:rsidRPr="009C3B63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>- гематурия</w:t>
      </w:r>
    </w:p>
    <w:p w:rsidR="00E74E94" w:rsidRPr="009C3B63" w:rsidRDefault="00E74E94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>- гинекомастия</w:t>
      </w:r>
    </w:p>
    <w:p w:rsidR="0044691D" w:rsidRPr="009C3B63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>- артралгии</w:t>
      </w:r>
    </w:p>
    <w:p w:rsidR="0044691D" w:rsidRPr="009C3B63" w:rsidRDefault="0044691D" w:rsidP="009C3B63">
      <w:pPr>
        <w:jc w:val="both"/>
        <w:rPr>
          <w:i/>
          <w:sz w:val="28"/>
          <w:szCs w:val="28"/>
        </w:rPr>
      </w:pPr>
      <w:r w:rsidRPr="009C3B63">
        <w:rPr>
          <w:i/>
          <w:sz w:val="28"/>
          <w:szCs w:val="28"/>
        </w:rPr>
        <w:t>Единичные случаи</w:t>
      </w:r>
    </w:p>
    <w:p w:rsidR="0044691D" w:rsidRPr="009C3B63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>- интерстициальные заболевания легких</w:t>
      </w:r>
    </w:p>
    <w:p w:rsidR="0044691D" w:rsidRPr="009C3B63" w:rsidRDefault="0044691D" w:rsidP="009C3B63">
      <w:pPr>
        <w:jc w:val="both"/>
        <w:rPr>
          <w:i/>
          <w:sz w:val="28"/>
          <w:szCs w:val="28"/>
        </w:rPr>
      </w:pPr>
      <w:r w:rsidRPr="009C3B63">
        <w:rPr>
          <w:i/>
          <w:sz w:val="28"/>
          <w:szCs w:val="28"/>
        </w:rPr>
        <w:t>Неуточненной частоты</w:t>
      </w:r>
    </w:p>
    <w:p w:rsidR="006F037F" w:rsidRPr="009C3B63" w:rsidRDefault="006F037F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>- депрессия</w:t>
      </w:r>
    </w:p>
    <w:p w:rsidR="006F037F" w:rsidRPr="009C3B63" w:rsidRDefault="006F037F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- периферийная </w:t>
      </w:r>
      <w:proofErr w:type="spellStart"/>
      <w:r w:rsidRPr="009C3B63">
        <w:rPr>
          <w:sz w:val="28"/>
          <w:szCs w:val="28"/>
        </w:rPr>
        <w:t>полинейропатия</w:t>
      </w:r>
      <w:proofErr w:type="spellEnd"/>
    </w:p>
    <w:p w:rsidR="006F037F" w:rsidRPr="009C3B63" w:rsidRDefault="006F037F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>- расстройства сна (включая бессонницу и ночные кошмары)</w:t>
      </w:r>
    </w:p>
    <w:p w:rsidR="00E74E94" w:rsidRPr="009C3B63" w:rsidRDefault="00E74E94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>- кашель, одышка</w:t>
      </w:r>
    </w:p>
    <w:p w:rsidR="0044691D" w:rsidRPr="009C3B63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>- диарея</w:t>
      </w:r>
    </w:p>
    <w:p w:rsidR="009F0A6E" w:rsidRPr="009C3B63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- </w:t>
      </w:r>
      <w:proofErr w:type="spellStart"/>
      <w:r w:rsidR="00B547B9" w:rsidRPr="009C3B63">
        <w:rPr>
          <w:sz w:val="28"/>
          <w:szCs w:val="28"/>
        </w:rPr>
        <w:t>иммуноопосредованная</w:t>
      </w:r>
      <w:proofErr w:type="spellEnd"/>
      <w:r w:rsidR="007F1DD0">
        <w:rPr>
          <w:sz w:val="28"/>
          <w:szCs w:val="28"/>
        </w:rPr>
        <w:t xml:space="preserve"> </w:t>
      </w:r>
      <w:proofErr w:type="spellStart"/>
      <w:r w:rsidR="00B547B9" w:rsidRPr="009C3B63">
        <w:rPr>
          <w:sz w:val="28"/>
          <w:szCs w:val="28"/>
        </w:rPr>
        <w:t>некротизирующая</w:t>
      </w:r>
      <w:proofErr w:type="spellEnd"/>
      <w:r w:rsidR="00B547B9" w:rsidRPr="009C3B63">
        <w:rPr>
          <w:sz w:val="28"/>
          <w:szCs w:val="28"/>
        </w:rPr>
        <w:t xml:space="preserve"> миопатия </w:t>
      </w:r>
    </w:p>
    <w:p w:rsidR="00CB1769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- синдром </w:t>
      </w:r>
      <w:proofErr w:type="spellStart"/>
      <w:r w:rsidRPr="009C3B63">
        <w:rPr>
          <w:sz w:val="28"/>
          <w:szCs w:val="28"/>
        </w:rPr>
        <w:t>Стивенса</w:t>
      </w:r>
      <w:proofErr w:type="spellEnd"/>
      <w:r w:rsidRPr="009C3B63">
        <w:rPr>
          <w:sz w:val="28"/>
          <w:szCs w:val="28"/>
        </w:rPr>
        <w:t>-Джонсона</w:t>
      </w:r>
      <w:r w:rsidR="007E13F5" w:rsidRPr="009C3B63">
        <w:rPr>
          <w:sz w:val="28"/>
          <w:szCs w:val="28"/>
        </w:rPr>
        <w:t xml:space="preserve">, </w:t>
      </w:r>
      <w:r w:rsidR="001845CF" w:rsidRPr="009C3B63">
        <w:rPr>
          <w:sz w:val="28"/>
          <w:szCs w:val="28"/>
        </w:rPr>
        <w:t>лекарственные</w:t>
      </w:r>
      <w:r w:rsidR="007E13F5" w:rsidRPr="009C3B63">
        <w:rPr>
          <w:sz w:val="28"/>
          <w:szCs w:val="28"/>
        </w:rPr>
        <w:t xml:space="preserve"> реакции c </w:t>
      </w:r>
      <w:proofErr w:type="spellStart"/>
      <w:r w:rsidR="007E13F5" w:rsidRPr="009C3B63">
        <w:rPr>
          <w:sz w:val="28"/>
          <w:szCs w:val="28"/>
        </w:rPr>
        <w:t>эозинофилией</w:t>
      </w:r>
      <w:proofErr w:type="spellEnd"/>
      <w:r w:rsidR="007E13F5" w:rsidRPr="009C3B63">
        <w:rPr>
          <w:sz w:val="28"/>
          <w:szCs w:val="28"/>
        </w:rPr>
        <w:t xml:space="preserve"> и </w:t>
      </w:r>
    </w:p>
    <w:p w:rsidR="0044691D" w:rsidRPr="009C3B63" w:rsidRDefault="00CB1769" w:rsidP="009C3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13F5" w:rsidRPr="009C3B63">
        <w:rPr>
          <w:sz w:val="28"/>
          <w:szCs w:val="28"/>
        </w:rPr>
        <w:t>системными симптомами</w:t>
      </w:r>
    </w:p>
    <w:p w:rsidR="00E74E94" w:rsidRDefault="00E74E94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>- половая дисфункция</w:t>
      </w:r>
    </w:p>
    <w:p w:rsidR="00CB1769" w:rsidRDefault="0051088B" w:rsidP="009C3B63">
      <w:pPr>
        <w:jc w:val="both"/>
        <w:rPr>
          <w:sz w:val="28"/>
          <w:szCs w:val="28"/>
        </w:rPr>
      </w:pPr>
      <w:r w:rsidRPr="0051088B">
        <w:rPr>
          <w:sz w:val="28"/>
          <w:szCs w:val="28"/>
        </w:rPr>
        <w:t>-</w:t>
      </w:r>
      <w:r w:rsidR="007F1DD0">
        <w:rPr>
          <w:sz w:val="28"/>
          <w:szCs w:val="28"/>
        </w:rPr>
        <w:t xml:space="preserve"> </w:t>
      </w:r>
      <w:r w:rsidR="00B3360F" w:rsidRPr="00B3360F">
        <w:rPr>
          <w:sz w:val="28"/>
          <w:szCs w:val="28"/>
        </w:rPr>
        <w:t xml:space="preserve">нарушения со стороны связочного аппарата, иногда осложненные </w:t>
      </w:r>
    </w:p>
    <w:p w:rsidR="0051088B" w:rsidRPr="00B3360F" w:rsidRDefault="00CB1769" w:rsidP="009C3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360F" w:rsidRPr="00B3360F">
        <w:rPr>
          <w:sz w:val="28"/>
          <w:szCs w:val="28"/>
        </w:rPr>
        <w:t xml:space="preserve">разрывом, </w:t>
      </w:r>
      <w:proofErr w:type="spellStart"/>
      <w:r w:rsidR="00B3360F" w:rsidRPr="00B3360F">
        <w:rPr>
          <w:sz w:val="28"/>
          <w:szCs w:val="28"/>
        </w:rPr>
        <w:t>иммуно</w:t>
      </w:r>
      <w:proofErr w:type="spellEnd"/>
      <w:r w:rsidR="00B3360F" w:rsidRPr="00B3360F">
        <w:rPr>
          <w:sz w:val="28"/>
          <w:szCs w:val="28"/>
        </w:rPr>
        <w:t>-опосредованная некротическая миопатия</w:t>
      </w:r>
    </w:p>
    <w:p w:rsidR="0044691D" w:rsidRPr="009C3B63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lastRenderedPageBreak/>
        <w:t>- периферические отеки</w:t>
      </w:r>
    </w:p>
    <w:p w:rsidR="00E74E94" w:rsidRPr="009C3B63" w:rsidRDefault="00E74E94" w:rsidP="009C3B63">
      <w:pPr>
        <w:jc w:val="both"/>
        <w:rPr>
          <w:sz w:val="28"/>
          <w:szCs w:val="28"/>
        </w:rPr>
      </w:pPr>
    </w:p>
    <w:p w:rsidR="002F3E94" w:rsidRPr="009C3B63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У пациентов, получавших </w:t>
      </w:r>
      <w:r w:rsidR="00706B95" w:rsidRPr="00082743">
        <w:rPr>
          <w:bCs/>
          <w:caps/>
          <w:sz w:val="24"/>
          <w:szCs w:val="24"/>
        </w:rPr>
        <w:t>[</w:t>
      </w:r>
      <w:r w:rsidR="00706B95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706B95" w:rsidRPr="00082743">
        <w:rPr>
          <w:bCs/>
          <w:caps/>
          <w:sz w:val="24"/>
          <w:szCs w:val="24"/>
        </w:rPr>
        <w:t>]</w:t>
      </w:r>
      <w:r w:rsidRPr="009C3B63">
        <w:rPr>
          <w:sz w:val="28"/>
          <w:szCs w:val="28"/>
        </w:rPr>
        <w:t>, может выявляться протеинурия. В большинстве случаев протеинурия уменьшается или исчезает в процессе терапии и не означает возникновения острого или прогрессирования существующего заболевания почек. Как и при применении других ингибиторов ГМГ-</w:t>
      </w:r>
      <w:proofErr w:type="spellStart"/>
      <w:r w:rsidRPr="009C3B63">
        <w:rPr>
          <w:sz w:val="28"/>
          <w:szCs w:val="28"/>
        </w:rPr>
        <w:t>КоА</w:t>
      </w:r>
      <w:proofErr w:type="spellEnd"/>
      <w:r w:rsidRPr="009C3B63">
        <w:rPr>
          <w:sz w:val="28"/>
          <w:szCs w:val="28"/>
        </w:rPr>
        <w:t>-</w:t>
      </w:r>
      <w:proofErr w:type="spellStart"/>
      <w:r w:rsidRPr="009C3B63">
        <w:rPr>
          <w:sz w:val="28"/>
          <w:szCs w:val="28"/>
        </w:rPr>
        <w:t>редуктазы</w:t>
      </w:r>
      <w:proofErr w:type="spellEnd"/>
      <w:r w:rsidRPr="009C3B63">
        <w:rPr>
          <w:sz w:val="28"/>
          <w:szCs w:val="28"/>
        </w:rPr>
        <w:t xml:space="preserve">, частота возникновения побочных эффектов носит </w:t>
      </w:r>
      <w:proofErr w:type="spellStart"/>
      <w:r w:rsidRPr="009C3B63">
        <w:rPr>
          <w:sz w:val="28"/>
          <w:szCs w:val="28"/>
        </w:rPr>
        <w:t>дозозависимый</w:t>
      </w:r>
      <w:proofErr w:type="spellEnd"/>
      <w:r w:rsidRPr="009C3B63">
        <w:rPr>
          <w:sz w:val="28"/>
          <w:szCs w:val="28"/>
        </w:rPr>
        <w:t xml:space="preserve"> характер.</w:t>
      </w:r>
    </w:p>
    <w:p w:rsidR="00E74E94" w:rsidRPr="009C3B63" w:rsidRDefault="00E74E94" w:rsidP="009C3B63">
      <w:pPr>
        <w:jc w:val="both"/>
        <w:rPr>
          <w:sz w:val="28"/>
          <w:szCs w:val="28"/>
        </w:rPr>
      </w:pPr>
    </w:p>
    <w:p w:rsidR="00321FFA" w:rsidRPr="009C3B63" w:rsidRDefault="00321FFA" w:rsidP="009C3B63">
      <w:pPr>
        <w:jc w:val="both"/>
        <w:rPr>
          <w:sz w:val="28"/>
          <w:szCs w:val="28"/>
        </w:rPr>
      </w:pPr>
      <w:r w:rsidRPr="009C3B63">
        <w:rPr>
          <w:b/>
          <w:sz w:val="28"/>
          <w:szCs w:val="28"/>
        </w:rPr>
        <w:t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</w:p>
    <w:p w:rsidR="00321FFA" w:rsidRPr="009C3B63" w:rsidRDefault="00321FFA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РГП на ПХВ «Национальный </w:t>
      </w:r>
      <w:r w:rsidR="0045290E" w:rsidRPr="009C3B63">
        <w:rPr>
          <w:sz w:val="28"/>
          <w:szCs w:val="28"/>
        </w:rPr>
        <w:t>ц</w:t>
      </w:r>
      <w:r w:rsidRPr="009C3B63">
        <w:rPr>
          <w:sz w:val="28"/>
          <w:szCs w:val="28"/>
        </w:rPr>
        <w:t>ентр экспертизы лекарственных средств и медицинских изделий</w:t>
      </w:r>
      <w:r w:rsidR="00781F59" w:rsidRPr="009C3B63">
        <w:rPr>
          <w:sz w:val="28"/>
          <w:szCs w:val="28"/>
        </w:rPr>
        <w:t>»</w:t>
      </w:r>
      <w:r w:rsidR="00CB1769">
        <w:rPr>
          <w:sz w:val="28"/>
          <w:szCs w:val="28"/>
        </w:rPr>
        <w:t xml:space="preserve"> </w:t>
      </w:r>
      <w:r w:rsidR="00027F35" w:rsidRPr="009C3B63">
        <w:rPr>
          <w:sz w:val="28"/>
          <w:szCs w:val="28"/>
        </w:rPr>
        <w:t xml:space="preserve">Комитета медицинского и фармацевтического контроля  </w:t>
      </w:r>
      <w:r w:rsidRPr="009C3B63">
        <w:rPr>
          <w:sz w:val="28"/>
          <w:szCs w:val="28"/>
        </w:rPr>
        <w:t>Министерства здравоохранения Республики Казахстан</w:t>
      </w:r>
    </w:p>
    <w:p w:rsidR="00321FFA" w:rsidRPr="009C3B63" w:rsidRDefault="007F5523" w:rsidP="009C3B63">
      <w:pPr>
        <w:jc w:val="both"/>
        <w:rPr>
          <w:sz w:val="28"/>
          <w:szCs w:val="28"/>
        </w:rPr>
      </w:pPr>
      <w:hyperlink r:id="rId9" w:history="1">
        <w:r w:rsidR="00321FFA" w:rsidRPr="009C3B63">
          <w:rPr>
            <w:rStyle w:val="ac"/>
            <w:color w:val="auto"/>
            <w:sz w:val="28"/>
            <w:szCs w:val="28"/>
          </w:rPr>
          <w:t>http://www.ndda.kz</w:t>
        </w:r>
      </w:hyperlink>
    </w:p>
    <w:p w:rsidR="00DD72F5" w:rsidRPr="009C3B63" w:rsidRDefault="00DD72F5" w:rsidP="009C3B63">
      <w:pPr>
        <w:pStyle w:val="a9"/>
        <w:autoSpaceDE w:val="0"/>
        <w:autoSpaceDN w:val="0"/>
        <w:adjustRightInd w:val="0"/>
        <w:ind w:right="57"/>
        <w:rPr>
          <w:rFonts w:ascii="Times New Roman" w:hAnsi="Times New Roman"/>
          <w:i w:val="0"/>
          <w:iCs w:val="0"/>
          <w:lang w:val="ru-RU"/>
        </w:rPr>
      </w:pPr>
    </w:p>
    <w:p w:rsidR="00856310" w:rsidRPr="009C3B63" w:rsidRDefault="00856310" w:rsidP="009C3B63">
      <w:pPr>
        <w:pStyle w:val="1"/>
        <w:jc w:val="both"/>
        <w:rPr>
          <w:b/>
          <w:bCs/>
          <w:szCs w:val="28"/>
        </w:rPr>
      </w:pPr>
      <w:bookmarkStart w:id="7" w:name="_Hlk14357965"/>
      <w:r w:rsidRPr="009C3B63">
        <w:rPr>
          <w:b/>
          <w:bCs/>
          <w:szCs w:val="28"/>
        </w:rPr>
        <w:t>Дополнительные сведения</w:t>
      </w:r>
    </w:p>
    <w:p w:rsidR="008D14B2" w:rsidRPr="009C3B63" w:rsidRDefault="008D14B2" w:rsidP="009C3B63">
      <w:pPr>
        <w:pStyle w:val="1"/>
        <w:jc w:val="both"/>
        <w:rPr>
          <w:b/>
          <w:bCs/>
          <w:i/>
          <w:szCs w:val="28"/>
        </w:rPr>
      </w:pPr>
      <w:r w:rsidRPr="009C3B63">
        <w:rPr>
          <w:b/>
          <w:bCs/>
          <w:i/>
          <w:szCs w:val="28"/>
        </w:rPr>
        <w:t>Состав</w:t>
      </w:r>
      <w:r w:rsidR="00856310" w:rsidRPr="009C3B63">
        <w:rPr>
          <w:b/>
          <w:bCs/>
          <w:i/>
          <w:szCs w:val="28"/>
        </w:rPr>
        <w:t xml:space="preserve"> лекарственного препарата</w:t>
      </w:r>
    </w:p>
    <w:bookmarkEnd w:id="7"/>
    <w:p w:rsidR="008D14B2" w:rsidRPr="009C3B63" w:rsidRDefault="008D14B2" w:rsidP="009C3B63">
      <w:pPr>
        <w:pStyle w:val="1"/>
        <w:jc w:val="both"/>
        <w:rPr>
          <w:szCs w:val="28"/>
        </w:rPr>
      </w:pPr>
      <w:r w:rsidRPr="009C3B63">
        <w:rPr>
          <w:szCs w:val="28"/>
        </w:rPr>
        <w:t>Одна таблетка содержит</w:t>
      </w:r>
    </w:p>
    <w:p w:rsidR="00183091" w:rsidRPr="009C3B63" w:rsidRDefault="00183091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i/>
          <w:iCs/>
          <w:sz w:val="28"/>
          <w:szCs w:val="28"/>
        </w:rPr>
        <w:t>активное вещество</w:t>
      </w:r>
      <w:r w:rsidRPr="009C3B63">
        <w:rPr>
          <w:rFonts w:eastAsia="Arial Unicode MS"/>
          <w:sz w:val="28"/>
          <w:szCs w:val="28"/>
        </w:rPr>
        <w:t xml:space="preserve"> - </w:t>
      </w:r>
      <w:proofErr w:type="spellStart"/>
      <w:r w:rsidR="008A13FC" w:rsidRPr="009C3B63">
        <w:rPr>
          <w:rFonts w:eastAsia="Arial Unicode MS"/>
          <w:sz w:val="28"/>
          <w:szCs w:val="28"/>
        </w:rPr>
        <w:t>розувастатин</w:t>
      </w:r>
      <w:proofErr w:type="spellEnd"/>
      <w:r w:rsidR="008A13FC" w:rsidRPr="009C3B63">
        <w:rPr>
          <w:rFonts w:eastAsia="Arial Unicode MS"/>
          <w:sz w:val="28"/>
          <w:szCs w:val="28"/>
        </w:rPr>
        <w:t xml:space="preserve">  кальция 5 мг (в виде </w:t>
      </w:r>
      <w:proofErr w:type="spellStart"/>
      <w:r w:rsidR="008A13FC"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="008A13FC" w:rsidRPr="009C3B63">
        <w:rPr>
          <w:rFonts w:eastAsia="Arial Unicode MS"/>
          <w:sz w:val="28"/>
          <w:szCs w:val="28"/>
        </w:rPr>
        <w:t xml:space="preserve"> кальция 5,2 мг) </w:t>
      </w:r>
    </w:p>
    <w:p w:rsidR="009A0C26" w:rsidRPr="009C3B63" w:rsidRDefault="00183091" w:rsidP="00706B95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i/>
          <w:sz w:val="28"/>
          <w:szCs w:val="28"/>
        </w:rPr>
        <w:t>вспомогательные вещества</w:t>
      </w:r>
      <w:proofErr w:type="gramStart"/>
      <w:r w:rsidR="00F11000" w:rsidRPr="009C3B63">
        <w:rPr>
          <w:rFonts w:eastAsia="Arial Unicode MS"/>
          <w:i/>
          <w:sz w:val="28"/>
          <w:szCs w:val="28"/>
        </w:rPr>
        <w:t>:</w:t>
      </w:r>
      <w:r w:rsidR="00706B95" w:rsidRPr="00082743">
        <w:rPr>
          <w:bCs/>
          <w:caps/>
          <w:sz w:val="24"/>
          <w:szCs w:val="24"/>
          <w:highlight w:val="lightGray"/>
        </w:rPr>
        <w:t>[</w:t>
      </w:r>
      <w:proofErr w:type="gramEnd"/>
      <w:r w:rsidR="00706B95" w:rsidRPr="00082743">
        <w:rPr>
          <w:bCs/>
          <w:caps/>
          <w:sz w:val="24"/>
          <w:szCs w:val="24"/>
          <w:highlight w:val="lightGray"/>
        </w:rPr>
        <w:t>согласно НД РК]</w:t>
      </w:r>
    </w:p>
    <w:p w:rsidR="00C0666A" w:rsidRPr="009C3B63" w:rsidRDefault="00C0666A" w:rsidP="009C3B63">
      <w:pPr>
        <w:jc w:val="both"/>
        <w:rPr>
          <w:b/>
          <w:bCs/>
          <w:i/>
          <w:sz w:val="28"/>
          <w:szCs w:val="28"/>
        </w:rPr>
      </w:pPr>
    </w:p>
    <w:p w:rsidR="00FD6006" w:rsidRPr="009C3B63" w:rsidRDefault="00FD6006" w:rsidP="009C3B63">
      <w:pPr>
        <w:jc w:val="both"/>
        <w:rPr>
          <w:b/>
          <w:bCs/>
          <w:i/>
          <w:sz w:val="28"/>
          <w:szCs w:val="28"/>
        </w:rPr>
      </w:pPr>
      <w:r w:rsidRPr="009C3B63">
        <w:rPr>
          <w:b/>
          <w:bCs/>
          <w:i/>
          <w:sz w:val="28"/>
          <w:szCs w:val="28"/>
        </w:rPr>
        <w:t>Описание внешнего вида, запаха, вкуса</w:t>
      </w:r>
    </w:p>
    <w:p w:rsidR="00706B95" w:rsidRPr="00082743" w:rsidRDefault="00706B95" w:rsidP="00706B95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082743">
        <w:rPr>
          <w:rFonts w:eastAsia="Calibri"/>
          <w:bCs/>
          <w:caps/>
          <w:sz w:val="24"/>
          <w:szCs w:val="24"/>
          <w:lang w:eastAsia="en-US"/>
        </w:rPr>
        <w:t>[</w:t>
      </w:r>
      <w:r w:rsidRPr="00082743">
        <w:rPr>
          <w:rFonts w:eastAsia="Calibri"/>
          <w:bCs/>
          <w:caps/>
          <w:sz w:val="24"/>
          <w:szCs w:val="24"/>
          <w:highlight w:val="lightGray"/>
          <w:lang w:eastAsia="en-US"/>
        </w:rPr>
        <w:t>оПИСАНИЕ СОГЛАСНО нд рк</w:t>
      </w:r>
      <w:r w:rsidRPr="00082743">
        <w:rPr>
          <w:rFonts w:eastAsia="Calibri"/>
          <w:bCs/>
          <w:caps/>
          <w:sz w:val="24"/>
          <w:szCs w:val="24"/>
          <w:lang w:eastAsia="en-US"/>
        </w:rPr>
        <w:t>]</w:t>
      </w:r>
    </w:p>
    <w:p w:rsidR="00265E77" w:rsidRPr="009C3B63" w:rsidRDefault="00265E77" w:rsidP="009C3B63">
      <w:pPr>
        <w:pStyle w:val="3"/>
        <w:rPr>
          <w:szCs w:val="28"/>
          <w:lang w:val="ru-RU"/>
        </w:rPr>
      </w:pPr>
      <w:r w:rsidRPr="009C3B63">
        <w:rPr>
          <w:szCs w:val="28"/>
          <w:lang w:val="ru-RU"/>
        </w:rPr>
        <w:t>Форма выпуска и упаковка</w:t>
      </w:r>
    </w:p>
    <w:p w:rsidR="00706B95" w:rsidRPr="00706B95" w:rsidRDefault="00706B95" w:rsidP="00706B95">
      <w:pPr>
        <w:tabs>
          <w:tab w:val="left" w:pos="426"/>
        </w:tabs>
        <w:spacing w:line="276" w:lineRule="auto"/>
        <w:jc w:val="both"/>
        <w:rPr>
          <w:rFonts w:eastAsia="Calibri"/>
          <w:noProof/>
          <w:sz w:val="24"/>
          <w:szCs w:val="24"/>
          <w:lang w:eastAsia="en-US"/>
        </w:rPr>
      </w:pPr>
      <w:r w:rsidRPr="00706B95">
        <w:rPr>
          <w:rFonts w:eastAsia="Calibri"/>
          <w:bCs/>
          <w:caps/>
          <w:sz w:val="24"/>
          <w:szCs w:val="24"/>
          <w:highlight w:val="lightGray"/>
          <w:lang w:eastAsia="en-US"/>
        </w:rPr>
        <w:t>[Описание упаковки согласно НД РК]</w:t>
      </w:r>
    </w:p>
    <w:p w:rsidR="001750FA" w:rsidRPr="009C3B63" w:rsidRDefault="001750FA" w:rsidP="009C3B63">
      <w:pPr>
        <w:jc w:val="both"/>
        <w:rPr>
          <w:rFonts w:eastAsia="Arial Unicode MS"/>
          <w:sz w:val="28"/>
          <w:szCs w:val="28"/>
        </w:rPr>
      </w:pPr>
    </w:p>
    <w:p w:rsidR="00856310" w:rsidRPr="009C3B63" w:rsidRDefault="00856310" w:rsidP="009C3B63">
      <w:pPr>
        <w:jc w:val="both"/>
        <w:rPr>
          <w:b/>
          <w:sz w:val="28"/>
          <w:szCs w:val="28"/>
        </w:rPr>
      </w:pPr>
      <w:r w:rsidRPr="009C3B63">
        <w:rPr>
          <w:b/>
          <w:sz w:val="28"/>
          <w:szCs w:val="28"/>
        </w:rPr>
        <w:t>Срок хранения</w:t>
      </w:r>
    </w:p>
    <w:p w:rsidR="00706B95" w:rsidRPr="00706B95" w:rsidRDefault="00706B95" w:rsidP="00706B95">
      <w:pPr>
        <w:tabs>
          <w:tab w:val="left" w:pos="7080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06B95">
        <w:rPr>
          <w:rFonts w:eastAsia="Calibri"/>
          <w:bCs/>
          <w:caps/>
          <w:sz w:val="24"/>
          <w:szCs w:val="24"/>
          <w:highlight w:val="lightGray"/>
          <w:lang w:eastAsia="en-US"/>
        </w:rPr>
        <w:t>[согласно НД РК]</w:t>
      </w:r>
    </w:p>
    <w:p w:rsidR="00856310" w:rsidRPr="009C3B63" w:rsidRDefault="00856310" w:rsidP="009C3B63">
      <w:pPr>
        <w:pStyle w:val="2"/>
        <w:jc w:val="both"/>
        <w:rPr>
          <w:b w:val="0"/>
          <w:bCs/>
          <w:szCs w:val="28"/>
        </w:rPr>
      </w:pPr>
      <w:r w:rsidRPr="009C3B63">
        <w:rPr>
          <w:b w:val="0"/>
          <w:bCs/>
          <w:szCs w:val="28"/>
        </w:rPr>
        <w:t>Не применять по истечении срока годности.</w:t>
      </w:r>
    </w:p>
    <w:p w:rsidR="00C0666A" w:rsidRPr="009C3B63" w:rsidRDefault="00C0666A" w:rsidP="009C3B63">
      <w:pPr>
        <w:ind w:right="57"/>
        <w:jc w:val="both"/>
        <w:rPr>
          <w:b/>
          <w:bCs/>
          <w:i/>
          <w:sz w:val="28"/>
          <w:szCs w:val="28"/>
        </w:rPr>
      </w:pPr>
    </w:p>
    <w:p w:rsidR="00856310" w:rsidRPr="009C3B63" w:rsidRDefault="00856310" w:rsidP="009C3B63">
      <w:pPr>
        <w:ind w:right="-1"/>
        <w:jc w:val="both"/>
        <w:rPr>
          <w:b/>
          <w:bCs/>
          <w:i/>
          <w:sz w:val="28"/>
          <w:szCs w:val="28"/>
        </w:rPr>
      </w:pPr>
      <w:r w:rsidRPr="009C3B63">
        <w:rPr>
          <w:b/>
          <w:bCs/>
          <w:i/>
          <w:sz w:val="28"/>
          <w:szCs w:val="28"/>
        </w:rPr>
        <w:t>Условия хранения</w:t>
      </w:r>
    </w:p>
    <w:p w:rsidR="00856310" w:rsidRPr="009C3B63" w:rsidRDefault="00706B95" w:rsidP="009C3B63">
      <w:pPr>
        <w:ind w:right="57"/>
        <w:jc w:val="both"/>
        <w:rPr>
          <w:sz w:val="28"/>
          <w:szCs w:val="28"/>
        </w:rPr>
      </w:pPr>
      <w:r>
        <w:rPr>
          <w:bCs/>
          <w:caps/>
          <w:sz w:val="24"/>
          <w:szCs w:val="24"/>
          <w:highlight w:val="lightGray"/>
        </w:rPr>
        <w:t>[условия хранения согласно НД РК]</w:t>
      </w:r>
    </w:p>
    <w:p w:rsidR="00856310" w:rsidRPr="009C3B63" w:rsidRDefault="00856310" w:rsidP="009C3B63">
      <w:pPr>
        <w:ind w:right="57"/>
        <w:jc w:val="both"/>
        <w:rPr>
          <w:sz w:val="28"/>
          <w:szCs w:val="28"/>
        </w:rPr>
      </w:pPr>
      <w:r w:rsidRPr="009C3B63">
        <w:rPr>
          <w:sz w:val="28"/>
          <w:szCs w:val="28"/>
        </w:rPr>
        <w:t>Хранить в недоступном для детей месте!</w:t>
      </w:r>
    </w:p>
    <w:p w:rsidR="00F355C0" w:rsidRPr="009C3B63" w:rsidRDefault="00F355C0" w:rsidP="009C3B63">
      <w:pPr>
        <w:ind w:right="57"/>
        <w:jc w:val="both"/>
        <w:rPr>
          <w:b/>
          <w:bCs/>
          <w:sz w:val="28"/>
          <w:szCs w:val="28"/>
        </w:rPr>
      </w:pPr>
    </w:p>
    <w:p w:rsidR="00856310" w:rsidRPr="009C3B63" w:rsidRDefault="00856310" w:rsidP="009C3B63">
      <w:pPr>
        <w:ind w:right="57"/>
        <w:jc w:val="both"/>
        <w:rPr>
          <w:b/>
          <w:bCs/>
          <w:sz w:val="28"/>
          <w:szCs w:val="28"/>
        </w:rPr>
      </w:pPr>
      <w:r w:rsidRPr="009C3B63">
        <w:rPr>
          <w:b/>
          <w:bCs/>
          <w:sz w:val="28"/>
          <w:szCs w:val="28"/>
        </w:rPr>
        <w:t xml:space="preserve">Условия отпуска из аптек </w:t>
      </w:r>
    </w:p>
    <w:p w:rsidR="00856310" w:rsidRPr="009C3B63" w:rsidRDefault="00856310" w:rsidP="009C3B63">
      <w:pPr>
        <w:ind w:right="57"/>
        <w:jc w:val="both"/>
        <w:rPr>
          <w:sz w:val="28"/>
          <w:szCs w:val="28"/>
        </w:rPr>
      </w:pPr>
      <w:r w:rsidRPr="009C3B63">
        <w:rPr>
          <w:sz w:val="28"/>
          <w:szCs w:val="28"/>
        </w:rPr>
        <w:t>По рецепту</w:t>
      </w:r>
    </w:p>
    <w:p w:rsidR="002F7A7B" w:rsidRPr="009C3B63" w:rsidRDefault="002F7A7B" w:rsidP="009C3B63">
      <w:pPr>
        <w:ind w:right="57"/>
        <w:jc w:val="both"/>
        <w:rPr>
          <w:sz w:val="28"/>
          <w:szCs w:val="28"/>
        </w:rPr>
      </w:pPr>
    </w:p>
    <w:p w:rsidR="00856310" w:rsidRPr="009C3B63" w:rsidRDefault="00F67F09" w:rsidP="009C3B63">
      <w:pPr>
        <w:ind w:right="57"/>
        <w:jc w:val="both"/>
        <w:rPr>
          <w:b/>
          <w:bCs/>
          <w:sz w:val="28"/>
          <w:szCs w:val="28"/>
        </w:rPr>
      </w:pPr>
      <w:r w:rsidRPr="009C3B63">
        <w:rPr>
          <w:b/>
          <w:bCs/>
          <w:sz w:val="28"/>
          <w:szCs w:val="28"/>
        </w:rPr>
        <w:t>Сведения о п</w:t>
      </w:r>
      <w:r w:rsidR="00856310" w:rsidRPr="009C3B63">
        <w:rPr>
          <w:b/>
          <w:bCs/>
          <w:sz w:val="28"/>
          <w:szCs w:val="28"/>
        </w:rPr>
        <w:t>роизводител</w:t>
      </w:r>
      <w:r w:rsidRPr="009C3B63">
        <w:rPr>
          <w:b/>
          <w:bCs/>
          <w:sz w:val="28"/>
          <w:szCs w:val="28"/>
        </w:rPr>
        <w:t>е</w:t>
      </w:r>
    </w:p>
    <w:p w:rsidR="00F67F09" w:rsidRDefault="00706B95" w:rsidP="009C3B63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highlight w:val="lightGray"/>
        </w:rPr>
        <w:t>[Заполняется на национальном уровне]</w:t>
      </w:r>
    </w:p>
    <w:p w:rsidR="00706B95" w:rsidRPr="009C3B63" w:rsidRDefault="00706B95" w:rsidP="009C3B63">
      <w:pPr>
        <w:jc w:val="both"/>
        <w:rPr>
          <w:b/>
          <w:bCs/>
          <w:sz w:val="28"/>
          <w:szCs w:val="28"/>
        </w:rPr>
      </w:pPr>
    </w:p>
    <w:p w:rsidR="00856310" w:rsidRPr="009C3B63" w:rsidRDefault="00F6480E" w:rsidP="009C3B63">
      <w:pPr>
        <w:jc w:val="both"/>
        <w:rPr>
          <w:b/>
          <w:bCs/>
          <w:sz w:val="28"/>
          <w:szCs w:val="28"/>
        </w:rPr>
      </w:pPr>
      <w:r w:rsidRPr="009C3B63">
        <w:rPr>
          <w:b/>
          <w:bCs/>
          <w:sz w:val="28"/>
          <w:szCs w:val="28"/>
        </w:rPr>
        <w:t>Держатель</w:t>
      </w:r>
      <w:r w:rsidR="00856310" w:rsidRPr="009C3B63">
        <w:rPr>
          <w:b/>
          <w:bCs/>
          <w:sz w:val="28"/>
          <w:szCs w:val="28"/>
        </w:rPr>
        <w:t xml:space="preserve"> регистрационного удостоверения</w:t>
      </w:r>
    </w:p>
    <w:p w:rsidR="00F67F09" w:rsidRDefault="00706B95" w:rsidP="009C3B63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highlight w:val="lightGray"/>
        </w:rPr>
        <w:t>[Заполняется на национальном уровне]</w:t>
      </w:r>
    </w:p>
    <w:p w:rsidR="00706B95" w:rsidRPr="009C3B63" w:rsidRDefault="00706B95" w:rsidP="009C3B63">
      <w:pPr>
        <w:jc w:val="both"/>
        <w:rPr>
          <w:bCs/>
          <w:sz w:val="28"/>
          <w:szCs w:val="28"/>
        </w:rPr>
      </w:pPr>
    </w:p>
    <w:p w:rsidR="00983C8B" w:rsidRPr="009C3B63" w:rsidRDefault="00983C8B" w:rsidP="009C3B63">
      <w:pPr>
        <w:jc w:val="both"/>
        <w:rPr>
          <w:rFonts w:eastAsia="Calibri"/>
          <w:b/>
          <w:sz w:val="28"/>
          <w:szCs w:val="28"/>
          <w:lang w:eastAsia="de-DE"/>
        </w:rPr>
      </w:pPr>
      <w:r w:rsidRPr="009C3B63">
        <w:rPr>
          <w:rFonts w:eastAsia="Calibri"/>
          <w:b/>
          <w:iCs/>
          <w:sz w:val="28"/>
          <w:szCs w:val="28"/>
          <w:lang w:eastAsia="en-US"/>
        </w:rPr>
        <w:t xml:space="preserve">Наименование, адрес и контактные данные  (телефон,  факс,  электронная  почта) организации на территории Республики Казахстан, принимающей претензии (предложения)  по качеству лекарственных  средств  от потребителей и  </w:t>
      </w:r>
      <w:r w:rsidRPr="009C3B63">
        <w:rPr>
          <w:rFonts w:eastAsia="Calibri"/>
          <w:b/>
          <w:iCs/>
          <w:sz w:val="28"/>
          <w:szCs w:val="28"/>
          <w:lang w:eastAsia="de-DE"/>
        </w:rPr>
        <w:t>ответственной за пострегистрационное наблюдение за безопасностью лекарственного средства</w:t>
      </w:r>
    </w:p>
    <w:p w:rsidR="00856310" w:rsidRPr="00C64059" w:rsidRDefault="00706B95" w:rsidP="009C3B63">
      <w:pPr>
        <w:pStyle w:val="3"/>
        <w:rPr>
          <w:szCs w:val="28"/>
          <w:lang w:val="ru-RU"/>
        </w:rPr>
      </w:pPr>
      <w:r>
        <w:rPr>
          <w:noProof/>
          <w:sz w:val="24"/>
          <w:szCs w:val="24"/>
          <w:highlight w:val="lightGray"/>
        </w:rPr>
        <w:t>[Заполняется на национальном уровне]</w:t>
      </w:r>
    </w:p>
    <w:sectPr w:rsidR="00856310" w:rsidRPr="00C64059" w:rsidSect="0049768F">
      <w:headerReference w:type="default" r:id="rId10"/>
      <w:footerReference w:type="even" r:id="rId11"/>
      <w:footerReference w:type="first" r:id="rId12"/>
      <w:pgSz w:w="11906" w:h="16838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523" w:rsidRDefault="007F5523">
      <w:r>
        <w:separator/>
      </w:r>
    </w:p>
  </w:endnote>
  <w:endnote w:type="continuationSeparator" w:id="0">
    <w:p w:rsidR="007F5523" w:rsidRDefault="007F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F5523"/>
  <w:p w:rsidR="00E6092E" w:rsidRDefault="00A7304A">
    <w:r>
      <w:rPr>
        <w:sz w:val="22"/>
        <w:szCs w:val="22"/>
      </w:rPr>
      <w:t>Решение: N048125</w:t>
    </w:r>
    <w:r>
      <w:rPr>
        <w:sz w:val="22"/>
        <w:szCs w:val="22"/>
      </w:rPr>
      <w:br/>
      <w:t>Дата решения: 08.02.2022</w:t>
    </w:r>
    <w:r>
      <w:rPr>
        <w:sz w:val="22"/>
        <w:szCs w:val="22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sz w:val="22"/>
        <w:szCs w:val="22"/>
      </w:rPr>
      <w:t>Байсеркин</w:t>
    </w:r>
    <w:proofErr w:type="spellEnd"/>
    <w:r>
      <w:rPr>
        <w:sz w:val="22"/>
        <w:szCs w:val="22"/>
      </w:rPr>
      <w:t xml:space="preserve"> Б. С.</w:t>
    </w:r>
    <w:r>
      <w:rPr>
        <w:sz w:val="22"/>
        <w:szCs w:val="22"/>
      </w:rPr>
      <w:br/>
      <w:t>(Комитет контроля качества и безопасности товаров и услуг)</w:t>
    </w:r>
    <w:r>
      <w:rPr>
        <w:sz w:val="22"/>
        <w:szCs w:val="22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F5523"/>
  <w:p w:rsidR="00E6092E" w:rsidRDefault="00A7304A">
    <w:r>
      <w:rPr>
        <w:sz w:val="22"/>
        <w:szCs w:val="22"/>
      </w:rPr>
      <w:t>Решение: N048125</w:t>
    </w:r>
    <w:r>
      <w:rPr>
        <w:sz w:val="22"/>
        <w:szCs w:val="22"/>
      </w:rPr>
      <w:br/>
      <w:t>Дата решения: 08.02.2022</w:t>
    </w:r>
    <w:r>
      <w:rPr>
        <w:sz w:val="22"/>
        <w:szCs w:val="22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sz w:val="22"/>
        <w:szCs w:val="22"/>
      </w:rPr>
      <w:t>Байсеркин</w:t>
    </w:r>
    <w:proofErr w:type="spellEnd"/>
    <w:r>
      <w:rPr>
        <w:sz w:val="22"/>
        <w:szCs w:val="22"/>
      </w:rPr>
      <w:t xml:space="preserve"> Б. С.</w:t>
    </w:r>
    <w:r>
      <w:rPr>
        <w:sz w:val="22"/>
        <w:szCs w:val="22"/>
      </w:rPr>
      <w:br/>
      <w:t>(Комитет контроля качества и безопасности товаров и услуг)</w:t>
    </w:r>
    <w:r>
      <w:rPr>
        <w:sz w:val="22"/>
        <w:szCs w:val="22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523" w:rsidRDefault="007F5523">
      <w:r>
        <w:separator/>
      </w:r>
    </w:p>
  </w:footnote>
  <w:footnote w:type="continuationSeparator" w:id="0">
    <w:p w:rsidR="007F5523" w:rsidRDefault="007F5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19" w:rsidRDefault="001D2E19" w:rsidP="001D2E19">
    <w:pPr>
      <w:pStyle w:val="a4"/>
      <w:tabs>
        <w:tab w:val="right" w:pos="9072"/>
      </w:tabs>
      <w:ind w:left="1440"/>
      <w:jc w:val="right"/>
    </w:pPr>
    <w:r>
      <w:rPr>
        <w:b/>
        <w:lang w:val="kk-KZ"/>
      </w:rPr>
      <w:t>Версия</w:t>
    </w:r>
    <w:r w:rsidRPr="0026073C">
      <w:rPr>
        <w:b/>
      </w:rPr>
      <w:t xml:space="preserve"> 1  </w:t>
    </w:r>
    <w:r>
      <w:rPr>
        <w:b/>
        <w:lang w:val="kk-KZ"/>
      </w:rPr>
      <w:t xml:space="preserve">Дата обновления </w:t>
    </w:r>
    <w:r w:rsidRPr="0026073C">
      <w:rPr>
        <w:b/>
      </w:rPr>
      <w:t xml:space="preserve"> </w:t>
    </w:r>
    <w:r>
      <w:rPr>
        <w:b/>
      </w:rPr>
      <w:t>1</w:t>
    </w:r>
    <w:r>
      <w:rPr>
        <w:b/>
        <w:lang w:val="en-US"/>
      </w:rPr>
      <w:t>7</w:t>
    </w:r>
    <w:r w:rsidRPr="0026073C">
      <w:rPr>
        <w:b/>
      </w:rPr>
      <w:t>.1</w:t>
    </w:r>
    <w:r>
      <w:rPr>
        <w:b/>
      </w:rPr>
      <w:t>1</w:t>
    </w:r>
    <w:r w:rsidRPr="0026073C">
      <w:rPr>
        <w:b/>
      </w:rPr>
      <w:t>.2022</w:t>
    </w:r>
  </w:p>
  <w:p w:rsidR="001D2E19" w:rsidRDefault="001D2E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E05D7C"/>
    <w:lvl w:ilvl="0">
      <w:numFmt w:val="bullet"/>
      <w:lvlText w:val="*"/>
      <w:lvlJc w:val="left"/>
    </w:lvl>
  </w:abstractNum>
  <w:abstractNum w:abstractNumId="1">
    <w:nsid w:val="04747291"/>
    <w:multiLevelType w:val="hybridMultilevel"/>
    <w:tmpl w:val="017C3C46"/>
    <w:lvl w:ilvl="0" w:tplc="690AFA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E2CDC"/>
    <w:multiLevelType w:val="hybridMultilevel"/>
    <w:tmpl w:val="4CC4609C"/>
    <w:lvl w:ilvl="0" w:tplc="690AFA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EE1E14"/>
    <w:multiLevelType w:val="hybridMultilevel"/>
    <w:tmpl w:val="CBBC8640"/>
    <w:lvl w:ilvl="0" w:tplc="4658F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108C2"/>
    <w:multiLevelType w:val="hybridMultilevel"/>
    <w:tmpl w:val="5B14A9DA"/>
    <w:lvl w:ilvl="0" w:tplc="B7C22FB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2D30393E"/>
    <w:multiLevelType w:val="hybridMultilevel"/>
    <w:tmpl w:val="1C0C42DA"/>
    <w:lvl w:ilvl="0" w:tplc="AD984A34">
      <w:start w:val="2"/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3A01D2"/>
    <w:multiLevelType w:val="hybridMultilevel"/>
    <w:tmpl w:val="27D6A276"/>
    <w:lvl w:ilvl="0" w:tplc="B7C22FB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3AAF19CC"/>
    <w:multiLevelType w:val="hybridMultilevel"/>
    <w:tmpl w:val="CC382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F682C"/>
    <w:multiLevelType w:val="hybridMultilevel"/>
    <w:tmpl w:val="8AC07912"/>
    <w:lvl w:ilvl="0" w:tplc="363AB82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53770E"/>
    <w:multiLevelType w:val="hybridMultilevel"/>
    <w:tmpl w:val="32BA505A"/>
    <w:lvl w:ilvl="0" w:tplc="252C5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B3B74"/>
    <w:multiLevelType w:val="hybridMultilevel"/>
    <w:tmpl w:val="0BF2B830"/>
    <w:lvl w:ilvl="0" w:tplc="E80230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4716F6"/>
    <w:multiLevelType w:val="hybridMultilevel"/>
    <w:tmpl w:val="257C8C92"/>
    <w:lvl w:ilvl="0" w:tplc="B7C22FB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5550137D"/>
    <w:multiLevelType w:val="hybridMultilevel"/>
    <w:tmpl w:val="E098A2F6"/>
    <w:lvl w:ilvl="0" w:tplc="77E4C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5D7D15"/>
    <w:multiLevelType w:val="hybridMultilevel"/>
    <w:tmpl w:val="DC543BEE"/>
    <w:lvl w:ilvl="0" w:tplc="77E4C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FC11CB"/>
    <w:multiLevelType w:val="hybridMultilevel"/>
    <w:tmpl w:val="AC525EFA"/>
    <w:lvl w:ilvl="0" w:tplc="690AFA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9C69FF"/>
    <w:multiLevelType w:val="hybridMultilevel"/>
    <w:tmpl w:val="CDE8E8B0"/>
    <w:lvl w:ilvl="0" w:tplc="DF16148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4"/>
  </w:num>
  <w:num w:numId="5">
    <w:abstractNumId w:val="5"/>
  </w:num>
  <w:num w:numId="6">
    <w:abstractNumId w:val="15"/>
  </w:num>
  <w:num w:numId="7">
    <w:abstractNumId w:val="8"/>
  </w:num>
  <w:num w:numId="8">
    <w:abstractNumId w:val="1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6"/>
  </w:num>
  <w:num w:numId="12">
    <w:abstractNumId w:val="4"/>
  </w:num>
  <w:num w:numId="13">
    <w:abstractNumId w:val="7"/>
  </w:num>
  <w:num w:numId="14">
    <w:abstractNumId w:val="9"/>
  </w:num>
  <w:num w:numId="15">
    <w:abstractNumId w:val="3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3D"/>
    <w:rsid w:val="00000B6C"/>
    <w:rsid w:val="0000100B"/>
    <w:rsid w:val="00001611"/>
    <w:rsid w:val="000017F3"/>
    <w:rsid w:val="00001940"/>
    <w:rsid w:val="0000542E"/>
    <w:rsid w:val="000054B2"/>
    <w:rsid w:val="00005529"/>
    <w:rsid w:val="00005AFB"/>
    <w:rsid w:val="000177AC"/>
    <w:rsid w:val="0001799C"/>
    <w:rsid w:val="000200F0"/>
    <w:rsid w:val="000264D3"/>
    <w:rsid w:val="00026F5E"/>
    <w:rsid w:val="00027424"/>
    <w:rsid w:val="00027F35"/>
    <w:rsid w:val="0003077B"/>
    <w:rsid w:val="0003140B"/>
    <w:rsid w:val="00033BE9"/>
    <w:rsid w:val="00040FCD"/>
    <w:rsid w:val="000445EB"/>
    <w:rsid w:val="00045C01"/>
    <w:rsid w:val="000462A9"/>
    <w:rsid w:val="00047653"/>
    <w:rsid w:val="0005325C"/>
    <w:rsid w:val="00055F30"/>
    <w:rsid w:val="000574A2"/>
    <w:rsid w:val="00061830"/>
    <w:rsid w:val="00061AB9"/>
    <w:rsid w:val="00070587"/>
    <w:rsid w:val="00073986"/>
    <w:rsid w:val="000769D7"/>
    <w:rsid w:val="00076A28"/>
    <w:rsid w:val="00077BBB"/>
    <w:rsid w:val="00077C07"/>
    <w:rsid w:val="0008068F"/>
    <w:rsid w:val="00080A14"/>
    <w:rsid w:val="000820A7"/>
    <w:rsid w:val="00082402"/>
    <w:rsid w:val="000844C9"/>
    <w:rsid w:val="00090402"/>
    <w:rsid w:val="00090CF3"/>
    <w:rsid w:val="000928C4"/>
    <w:rsid w:val="00095518"/>
    <w:rsid w:val="000A462F"/>
    <w:rsid w:val="000A79D1"/>
    <w:rsid w:val="000B0478"/>
    <w:rsid w:val="000B09CA"/>
    <w:rsid w:val="000B46BD"/>
    <w:rsid w:val="000B5B2C"/>
    <w:rsid w:val="000B6712"/>
    <w:rsid w:val="000B77D0"/>
    <w:rsid w:val="000C02F1"/>
    <w:rsid w:val="000C0D61"/>
    <w:rsid w:val="000C0F97"/>
    <w:rsid w:val="000C2135"/>
    <w:rsid w:val="000C37B0"/>
    <w:rsid w:val="000D07D4"/>
    <w:rsid w:val="000D3898"/>
    <w:rsid w:val="000D65C5"/>
    <w:rsid w:val="000D6C5A"/>
    <w:rsid w:val="000D70D8"/>
    <w:rsid w:val="000D7FD3"/>
    <w:rsid w:val="000F002D"/>
    <w:rsid w:val="000F08ED"/>
    <w:rsid w:val="000F2043"/>
    <w:rsid w:val="000F2209"/>
    <w:rsid w:val="000F3961"/>
    <w:rsid w:val="000F71FC"/>
    <w:rsid w:val="000F7A39"/>
    <w:rsid w:val="001007A9"/>
    <w:rsid w:val="00100992"/>
    <w:rsid w:val="001019BF"/>
    <w:rsid w:val="0010221E"/>
    <w:rsid w:val="0010546C"/>
    <w:rsid w:val="00105A4C"/>
    <w:rsid w:val="0010691C"/>
    <w:rsid w:val="001069DA"/>
    <w:rsid w:val="00110A05"/>
    <w:rsid w:val="00113000"/>
    <w:rsid w:val="00114E56"/>
    <w:rsid w:val="0011574F"/>
    <w:rsid w:val="00121E3E"/>
    <w:rsid w:val="0012489D"/>
    <w:rsid w:val="001257D1"/>
    <w:rsid w:val="00127A1D"/>
    <w:rsid w:val="00130A04"/>
    <w:rsid w:val="00131033"/>
    <w:rsid w:val="00133A7D"/>
    <w:rsid w:val="001358F3"/>
    <w:rsid w:val="00136984"/>
    <w:rsid w:val="00137C07"/>
    <w:rsid w:val="00140A6F"/>
    <w:rsid w:val="00144149"/>
    <w:rsid w:val="0014545A"/>
    <w:rsid w:val="00145871"/>
    <w:rsid w:val="00150BA2"/>
    <w:rsid w:val="00150D56"/>
    <w:rsid w:val="00151FB1"/>
    <w:rsid w:val="00152528"/>
    <w:rsid w:val="00153FA0"/>
    <w:rsid w:val="0015563C"/>
    <w:rsid w:val="00155831"/>
    <w:rsid w:val="00156F7A"/>
    <w:rsid w:val="00157FFA"/>
    <w:rsid w:val="00161C4D"/>
    <w:rsid w:val="00166FBA"/>
    <w:rsid w:val="0017098A"/>
    <w:rsid w:val="00170E7F"/>
    <w:rsid w:val="00172615"/>
    <w:rsid w:val="001750FA"/>
    <w:rsid w:val="001754AF"/>
    <w:rsid w:val="00175FC2"/>
    <w:rsid w:val="00177A75"/>
    <w:rsid w:val="00177EA4"/>
    <w:rsid w:val="00183091"/>
    <w:rsid w:val="00183DE0"/>
    <w:rsid w:val="001845CF"/>
    <w:rsid w:val="001869BC"/>
    <w:rsid w:val="00186C97"/>
    <w:rsid w:val="00190FE4"/>
    <w:rsid w:val="00190FF1"/>
    <w:rsid w:val="00195233"/>
    <w:rsid w:val="001A7E46"/>
    <w:rsid w:val="001B13AD"/>
    <w:rsid w:val="001B219B"/>
    <w:rsid w:val="001B4183"/>
    <w:rsid w:val="001B60CD"/>
    <w:rsid w:val="001B6DD0"/>
    <w:rsid w:val="001C026B"/>
    <w:rsid w:val="001C2B97"/>
    <w:rsid w:val="001C3F4B"/>
    <w:rsid w:val="001C4779"/>
    <w:rsid w:val="001C5CD1"/>
    <w:rsid w:val="001C6657"/>
    <w:rsid w:val="001C730C"/>
    <w:rsid w:val="001D089C"/>
    <w:rsid w:val="001D2E19"/>
    <w:rsid w:val="001E1388"/>
    <w:rsid w:val="001E27A9"/>
    <w:rsid w:val="001E2DA4"/>
    <w:rsid w:val="001E3A92"/>
    <w:rsid w:val="001E3DDA"/>
    <w:rsid w:val="001E3ECF"/>
    <w:rsid w:val="001E49BA"/>
    <w:rsid w:val="001E5FFC"/>
    <w:rsid w:val="001F0642"/>
    <w:rsid w:val="001F0F59"/>
    <w:rsid w:val="001F1271"/>
    <w:rsid w:val="001F2027"/>
    <w:rsid w:val="001F219C"/>
    <w:rsid w:val="00200C22"/>
    <w:rsid w:val="00201016"/>
    <w:rsid w:val="00203DCE"/>
    <w:rsid w:val="002045EE"/>
    <w:rsid w:val="00204AEA"/>
    <w:rsid w:val="00207C4F"/>
    <w:rsid w:val="00210DB4"/>
    <w:rsid w:val="002115BB"/>
    <w:rsid w:val="00212887"/>
    <w:rsid w:val="00212DCC"/>
    <w:rsid w:val="002139AE"/>
    <w:rsid w:val="00214474"/>
    <w:rsid w:val="002148DE"/>
    <w:rsid w:val="00216693"/>
    <w:rsid w:val="00217C55"/>
    <w:rsid w:val="002231B6"/>
    <w:rsid w:val="002257BB"/>
    <w:rsid w:val="00230929"/>
    <w:rsid w:val="00234626"/>
    <w:rsid w:val="00234E7D"/>
    <w:rsid w:val="00241784"/>
    <w:rsid w:val="002440B2"/>
    <w:rsid w:val="00245AD5"/>
    <w:rsid w:val="00247C12"/>
    <w:rsid w:val="00247F63"/>
    <w:rsid w:val="002510E5"/>
    <w:rsid w:val="0025328B"/>
    <w:rsid w:val="002535C0"/>
    <w:rsid w:val="002544EE"/>
    <w:rsid w:val="00261C6D"/>
    <w:rsid w:val="00265A5C"/>
    <w:rsid w:val="00265E77"/>
    <w:rsid w:val="00266107"/>
    <w:rsid w:val="00272632"/>
    <w:rsid w:val="002730AE"/>
    <w:rsid w:val="00274AEF"/>
    <w:rsid w:val="0028002F"/>
    <w:rsid w:val="00280311"/>
    <w:rsid w:val="00280D80"/>
    <w:rsid w:val="00283402"/>
    <w:rsid w:val="00284A12"/>
    <w:rsid w:val="0028684A"/>
    <w:rsid w:val="00286E24"/>
    <w:rsid w:val="00290781"/>
    <w:rsid w:val="002908C2"/>
    <w:rsid w:val="00291F00"/>
    <w:rsid w:val="002935C9"/>
    <w:rsid w:val="00295FAE"/>
    <w:rsid w:val="002A20F3"/>
    <w:rsid w:val="002A323D"/>
    <w:rsid w:val="002A396D"/>
    <w:rsid w:val="002A3AA6"/>
    <w:rsid w:val="002B048B"/>
    <w:rsid w:val="002B2190"/>
    <w:rsid w:val="002B26F9"/>
    <w:rsid w:val="002B2E50"/>
    <w:rsid w:val="002B2FC5"/>
    <w:rsid w:val="002B4551"/>
    <w:rsid w:val="002B47DB"/>
    <w:rsid w:val="002B493F"/>
    <w:rsid w:val="002B5169"/>
    <w:rsid w:val="002C05D1"/>
    <w:rsid w:val="002C1EE5"/>
    <w:rsid w:val="002C1FF4"/>
    <w:rsid w:val="002C38BA"/>
    <w:rsid w:val="002C5F2A"/>
    <w:rsid w:val="002D1BA1"/>
    <w:rsid w:val="002D20BC"/>
    <w:rsid w:val="002D2A7A"/>
    <w:rsid w:val="002D5116"/>
    <w:rsid w:val="002E503E"/>
    <w:rsid w:val="002E56A3"/>
    <w:rsid w:val="002F3E94"/>
    <w:rsid w:val="002F5D08"/>
    <w:rsid w:val="002F7167"/>
    <w:rsid w:val="002F7A7B"/>
    <w:rsid w:val="0030202F"/>
    <w:rsid w:val="00302425"/>
    <w:rsid w:val="00305299"/>
    <w:rsid w:val="00321FFA"/>
    <w:rsid w:val="003234A9"/>
    <w:rsid w:val="00324B8B"/>
    <w:rsid w:val="00326F33"/>
    <w:rsid w:val="00331FB1"/>
    <w:rsid w:val="00332975"/>
    <w:rsid w:val="00332BC0"/>
    <w:rsid w:val="00332D19"/>
    <w:rsid w:val="003338C5"/>
    <w:rsid w:val="00335921"/>
    <w:rsid w:val="00336A31"/>
    <w:rsid w:val="003405FA"/>
    <w:rsid w:val="00342F5D"/>
    <w:rsid w:val="00344BC3"/>
    <w:rsid w:val="003457D6"/>
    <w:rsid w:val="00346D7E"/>
    <w:rsid w:val="0035134F"/>
    <w:rsid w:val="00351A67"/>
    <w:rsid w:val="003547AA"/>
    <w:rsid w:val="00356D83"/>
    <w:rsid w:val="003576C5"/>
    <w:rsid w:val="00357FF8"/>
    <w:rsid w:val="0036070B"/>
    <w:rsid w:val="003610AC"/>
    <w:rsid w:val="003617E4"/>
    <w:rsid w:val="00362046"/>
    <w:rsid w:val="003644FD"/>
    <w:rsid w:val="00366A0C"/>
    <w:rsid w:val="00366D18"/>
    <w:rsid w:val="003702BC"/>
    <w:rsid w:val="00370863"/>
    <w:rsid w:val="00373653"/>
    <w:rsid w:val="00380EF6"/>
    <w:rsid w:val="0038172C"/>
    <w:rsid w:val="0038327B"/>
    <w:rsid w:val="00383730"/>
    <w:rsid w:val="00383C48"/>
    <w:rsid w:val="00384667"/>
    <w:rsid w:val="00386E1E"/>
    <w:rsid w:val="003872BC"/>
    <w:rsid w:val="003875D9"/>
    <w:rsid w:val="003940E3"/>
    <w:rsid w:val="003963F5"/>
    <w:rsid w:val="00396E12"/>
    <w:rsid w:val="003A1047"/>
    <w:rsid w:val="003A2154"/>
    <w:rsid w:val="003A2675"/>
    <w:rsid w:val="003A5866"/>
    <w:rsid w:val="003A6712"/>
    <w:rsid w:val="003A71DC"/>
    <w:rsid w:val="003B04D7"/>
    <w:rsid w:val="003B0778"/>
    <w:rsid w:val="003B23C8"/>
    <w:rsid w:val="003B723E"/>
    <w:rsid w:val="003C01F4"/>
    <w:rsid w:val="003C0D9C"/>
    <w:rsid w:val="003C3217"/>
    <w:rsid w:val="003C34D5"/>
    <w:rsid w:val="003C3839"/>
    <w:rsid w:val="003C3F5E"/>
    <w:rsid w:val="003C3F60"/>
    <w:rsid w:val="003D0717"/>
    <w:rsid w:val="003D31E7"/>
    <w:rsid w:val="003D53C0"/>
    <w:rsid w:val="003E0676"/>
    <w:rsid w:val="003E302D"/>
    <w:rsid w:val="003E3717"/>
    <w:rsid w:val="003E3F26"/>
    <w:rsid w:val="003F2080"/>
    <w:rsid w:val="003F53A9"/>
    <w:rsid w:val="003F5835"/>
    <w:rsid w:val="003F5AD2"/>
    <w:rsid w:val="003F5DD0"/>
    <w:rsid w:val="003F6532"/>
    <w:rsid w:val="003F65A2"/>
    <w:rsid w:val="003F667A"/>
    <w:rsid w:val="004001F5"/>
    <w:rsid w:val="004012B7"/>
    <w:rsid w:val="00403FC9"/>
    <w:rsid w:val="00404C72"/>
    <w:rsid w:val="00406220"/>
    <w:rsid w:val="00406C21"/>
    <w:rsid w:val="004100AF"/>
    <w:rsid w:val="00411A46"/>
    <w:rsid w:val="00412191"/>
    <w:rsid w:val="0041270B"/>
    <w:rsid w:val="00412E1E"/>
    <w:rsid w:val="0041431F"/>
    <w:rsid w:val="004162BF"/>
    <w:rsid w:val="00416C68"/>
    <w:rsid w:val="00420C34"/>
    <w:rsid w:val="00420CC3"/>
    <w:rsid w:val="00421C36"/>
    <w:rsid w:val="00423FD5"/>
    <w:rsid w:val="004253DC"/>
    <w:rsid w:val="00426385"/>
    <w:rsid w:val="00430945"/>
    <w:rsid w:val="00431536"/>
    <w:rsid w:val="00440C8B"/>
    <w:rsid w:val="00442CF8"/>
    <w:rsid w:val="00446554"/>
    <w:rsid w:val="00446701"/>
    <w:rsid w:val="0044691D"/>
    <w:rsid w:val="00447978"/>
    <w:rsid w:val="0045256B"/>
    <w:rsid w:val="0045290E"/>
    <w:rsid w:val="00454B54"/>
    <w:rsid w:val="00454D41"/>
    <w:rsid w:val="004558EF"/>
    <w:rsid w:val="00457B21"/>
    <w:rsid w:val="004610DE"/>
    <w:rsid w:val="004646DE"/>
    <w:rsid w:val="00471BDC"/>
    <w:rsid w:val="004737CA"/>
    <w:rsid w:val="00474064"/>
    <w:rsid w:val="00480D88"/>
    <w:rsid w:val="0048271B"/>
    <w:rsid w:val="00483035"/>
    <w:rsid w:val="00491D00"/>
    <w:rsid w:val="00493411"/>
    <w:rsid w:val="004971CA"/>
    <w:rsid w:val="0049768F"/>
    <w:rsid w:val="004976D2"/>
    <w:rsid w:val="00497889"/>
    <w:rsid w:val="004A1333"/>
    <w:rsid w:val="004A47AE"/>
    <w:rsid w:val="004A4D4C"/>
    <w:rsid w:val="004A74D7"/>
    <w:rsid w:val="004B47BD"/>
    <w:rsid w:val="004C0428"/>
    <w:rsid w:val="004C0DD0"/>
    <w:rsid w:val="004C2669"/>
    <w:rsid w:val="004C3124"/>
    <w:rsid w:val="004C325B"/>
    <w:rsid w:val="004C3739"/>
    <w:rsid w:val="004D6C3A"/>
    <w:rsid w:val="004E0B48"/>
    <w:rsid w:val="004E10EC"/>
    <w:rsid w:val="004E356D"/>
    <w:rsid w:val="004E3B2C"/>
    <w:rsid w:val="004E6D67"/>
    <w:rsid w:val="004F185C"/>
    <w:rsid w:val="004F18FB"/>
    <w:rsid w:val="004F297E"/>
    <w:rsid w:val="004F4735"/>
    <w:rsid w:val="004F5AAB"/>
    <w:rsid w:val="004F7F98"/>
    <w:rsid w:val="00502229"/>
    <w:rsid w:val="0050304C"/>
    <w:rsid w:val="0050694E"/>
    <w:rsid w:val="0051088B"/>
    <w:rsid w:val="0051265E"/>
    <w:rsid w:val="00514357"/>
    <w:rsid w:val="00515C08"/>
    <w:rsid w:val="00517FD2"/>
    <w:rsid w:val="00523958"/>
    <w:rsid w:val="00527C02"/>
    <w:rsid w:val="005303AD"/>
    <w:rsid w:val="00536ABE"/>
    <w:rsid w:val="005413DD"/>
    <w:rsid w:val="0054545F"/>
    <w:rsid w:val="005458C7"/>
    <w:rsid w:val="00550063"/>
    <w:rsid w:val="0055175D"/>
    <w:rsid w:val="0055376C"/>
    <w:rsid w:val="005549DA"/>
    <w:rsid w:val="00557EB0"/>
    <w:rsid w:val="005601C9"/>
    <w:rsid w:val="00562A24"/>
    <w:rsid w:val="00563685"/>
    <w:rsid w:val="00565152"/>
    <w:rsid w:val="005660F9"/>
    <w:rsid w:val="0056722A"/>
    <w:rsid w:val="00581673"/>
    <w:rsid w:val="005857D0"/>
    <w:rsid w:val="0059115C"/>
    <w:rsid w:val="00595679"/>
    <w:rsid w:val="00595F1A"/>
    <w:rsid w:val="005A0E7A"/>
    <w:rsid w:val="005B113B"/>
    <w:rsid w:val="005B3553"/>
    <w:rsid w:val="005B3C0D"/>
    <w:rsid w:val="005B3E14"/>
    <w:rsid w:val="005B3E7E"/>
    <w:rsid w:val="005B43C5"/>
    <w:rsid w:val="005B5A3E"/>
    <w:rsid w:val="005B5B21"/>
    <w:rsid w:val="005B5D5C"/>
    <w:rsid w:val="005B5E59"/>
    <w:rsid w:val="005B6450"/>
    <w:rsid w:val="005B7640"/>
    <w:rsid w:val="005C5122"/>
    <w:rsid w:val="005D15D0"/>
    <w:rsid w:val="005D32DA"/>
    <w:rsid w:val="005D3E21"/>
    <w:rsid w:val="005D41F5"/>
    <w:rsid w:val="005E0407"/>
    <w:rsid w:val="005E6903"/>
    <w:rsid w:val="005F2BBF"/>
    <w:rsid w:val="005F4EAF"/>
    <w:rsid w:val="005F6BE8"/>
    <w:rsid w:val="006007C7"/>
    <w:rsid w:val="00600D3A"/>
    <w:rsid w:val="00604D62"/>
    <w:rsid w:val="00607A71"/>
    <w:rsid w:val="006108E9"/>
    <w:rsid w:val="00612589"/>
    <w:rsid w:val="00612AE4"/>
    <w:rsid w:val="006148BD"/>
    <w:rsid w:val="00624E2B"/>
    <w:rsid w:val="006275C1"/>
    <w:rsid w:val="006276B5"/>
    <w:rsid w:val="00631F6C"/>
    <w:rsid w:val="00632023"/>
    <w:rsid w:val="00632C60"/>
    <w:rsid w:val="00635115"/>
    <w:rsid w:val="00637302"/>
    <w:rsid w:val="0063764E"/>
    <w:rsid w:val="00640599"/>
    <w:rsid w:val="00642CB6"/>
    <w:rsid w:val="00642E9F"/>
    <w:rsid w:val="006446E2"/>
    <w:rsid w:val="006447A5"/>
    <w:rsid w:val="00644884"/>
    <w:rsid w:val="006449B8"/>
    <w:rsid w:val="00644C1C"/>
    <w:rsid w:val="00652908"/>
    <w:rsid w:val="00652918"/>
    <w:rsid w:val="00654617"/>
    <w:rsid w:val="00656F22"/>
    <w:rsid w:val="00657E75"/>
    <w:rsid w:val="00665369"/>
    <w:rsid w:val="00671487"/>
    <w:rsid w:val="0067500D"/>
    <w:rsid w:val="00677052"/>
    <w:rsid w:val="00677176"/>
    <w:rsid w:val="00683C22"/>
    <w:rsid w:val="00684229"/>
    <w:rsid w:val="006854EA"/>
    <w:rsid w:val="00686DC1"/>
    <w:rsid w:val="006919A7"/>
    <w:rsid w:val="0069667F"/>
    <w:rsid w:val="006976B2"/>
    <w:rsid w:val="006A08A8"/>
    <w:rsid w:val="006A565F"/>
    <w:rsid w:val="006A6C82"/>
    <w:rsid w:val="006B1EA6"/>
    <w:rsid w:val="006B21DE"/>
    <w:rsid w:val="006B4A3A"/>
    <w:rsid w:val="006B54FA"/>
    <w:rsid w:val="006B6669"/>
    <w:rsid w:val="006B6CF0"/>
    <w:rsid w:val="006C7D9C"/>
    <w:rsid w:val="006D4CF6"/>
    <w:rsid w:val="006E3EAB"/>
    <w:rsid w:val="006E7589"/>
    <w:rsid w:val="006E7B58"/>
    <w:rsid w:val="006F037F"/>
    <w:rsid w:val="006F5214"/>
    <w:rsid w:val="007014EB"/>
    <w:rsid w:val="007035AF"/>
    <w:rsid w:val="00706927"/>
    <w:rsid w:val="007069AF"/>
    <w:rsid w:val="00706B95"/>
    <w:rsid w:val="00715465"/>
    <w:rsid w:val="00715643"/>
    <w:rsid w:val="00717358"/>
    <w:rsid w:val="00722C6D"/>
    <w:rsid w:val="007238E7"/>
    <w:rsid w:val="00723DD3"/>
    <w:rsid w:val="00724193"/>
    <w:rsid w:val="00726F00"/>
    <w:rsid w:val="0072740B"/>
    <w:rsid w:val="00727CFD"/>
    <w:rsid w:val="0073101B"/>
    <w:rsid w:val="00733FDB"/>
    <w:rsid w:val="0074086F"/>
    <w:rsid w:val="00741CD3"/>
    <w:rsid w:val="00742004"/>
    <w:rsid w:val="00743118"/>
    <w:rsid w:val="00743DF7"/>
    <w:rsid w:val="00745F1B"/>
    <w:rsid w:val="007464B0"/>
    <w:rsid w:val="00751E78"/>
    <w:rsid w:val="00755809"/>
    <w:rsid w:val="007574AD"/>
    <w:rsid w:val="00757570"/>
    <w:rsid w:val="00763041"/>
    <w:rsid w:val="00764E2D"/>
    <w:rsid w:val="007717A0"/>
    <w:rsid w:val="007737FC"/>
    <w:rsid w:val="00775193"/>
    <w:rsid w:val="00780047"/>
    <w:rsid w:val="00781F59"/>
    <w:rsid w:val="0078354C"/>
    <w:rsid w:val="00786A57"/>
    <w:rsid w:val="00786EB4"/>
    <w:rsid w:val="00786F17"/>
    <w:rsid w:val="00790D28"/>
    <w:rsid w:val="00791D0E"/>
    <w:rsid w:val="00791E07"/>
    <w:rsid w:val="00792978"/>
    <w:rsid w:val="0079327C"/>
    <w:rsid w:val="007A06C9"/>
    <w:rsid w:val="007A215E"/>
    <w:rsid w:val="007A6C69"/>
    <w:rsid w:val="007A6CBF"/>
    <w:rsid w:val="007A7962"/>
    <w:rsid w:val="007A7D3A"/>
    <w:rsid w:val="007B243D"/>
    <w:rsid w:val="007B2E62"/>
    <w:rsid w:val="007B554C"/>
    <w:rsid w:val="007C0E5C"/>
    <w:rsid w:val="007C1B03"/>
    <w:rsid w:val="007D2230"/>
    <w:rsid w:val="007E1266"/>
    <w:rsid w:val="007E13F5"/>
    <w:rsid w:val="007E275C"/>
    <w:rsid w:val="007E5D0D"/>
    <w:rsid w:val="007E6F53"/>
    <w:rsid w:val="007F1DD0"/>
    <w:rsid w:val="007F5523"/>
    <w:rsid w:val="007F6722"/>
    <w:rsid w:val="008005EE"/>
    <w:rsid w:val="00802210"/>
    <w:rsid w:val="0080244F"/>
    <w:rsid w:val="0080348F"/>
    <w:rsid w:val="00803531"/>
    <w:rsid w:val="00804C70"/>
    <w:rsid w:val="00807042"/>
    <w:rsid w:val="00810D6A"/>
    <w:rsid w:val="008112EB"/>
    <w:rsid w:val="00813F33"/>
    <w:rsid w:val="0082039A"/>
    <w:rsid w:val="008205AA"/>
    <w:rsid w:val="00820F22"/>
    <w:rsid w:val="00827E9F"/>
    <w:rsid w:val="00830579"/>
    <w:rsid w:val="008365A1"/>
    <w:rsid w:val="0084055B"/>
    <w:rsid w:val="00840FFF"/>
    <w:rsid w:val="00841AF5"/>
    <w:rsid w:val="00845AF9"/>
    <w:rsid w:val="008510C1"/>
    <w:rsid w:val="0085163F"/>
    <w:rsid w:val="00852D28"/>
    <w:rsid w:val="00854D6D"/>
    <w:rsid w:val="00854F89"/>
    <w:rsid w:val="00856310"/>
    <w:rsid w:val="00862A44"/>
    <w:rsid w:val="008668FC"/>
    <w:rsid w:val="00867973"/>
    <w:rsid w:val="00870704"/>
    <w:rsid w:val="00874589"/>
    <w:rsid w:val="0088067B"/>
    <w:rsid w:val="008811D1"/>
    <w:rsid w:val="00882E7D"/>
    <w:rsid w:val="00890219"/>
    <w:rsid w:val="008943B2"/>
    <w:rsid w:val="0089532B"/>
    <w:rsid w:val="00895BB7"/>
    <w:rsid w:val="00896FCB"/>
    <w:rsid w:val="008A13FC"/>
    <w:rsid w:val="008A52BE"/>
    <w:rsid w:val="008A53B8"/>
    <w:rsid w:val="008B1196"/>
    <w:rsid w:val="008B268D"/>
    <w:rsid w:val="008B3ACF"/>
    <w:rsid w:val="008B4D34"/>
    <w:rsid w:val="008C4188"/>
    <w:rsid w:val="008C65D6"/>
    <w:rsid w:val="008D14B2"/>
    <w:rsid w:val="008D217F"/>
    <w:rsid w:val="008D2396"/>
    <w:rsid w:val="008D5D56"/>
    <w:rsid w:val="008E0E70"/>
    <w:rsid w:val="008E0F8A"/>
    <w:rsid w:val="008E18AB"/>
    <w:rsid w:val="008E1B46"/>
    <w:rsid w:val="008E3AE7"/>
    <w:rsid w:val="008E474B"/>
    <w:rsid w:val="008E4E5F"/>
    <w:rsid w:val="008E582C"/>
    <w:rsid w:val="008E6663"/>
    <w:rsid w:val="008E7833"/>
    <w:rsid w:val="008F3ED2"/>
    <w:rsid w:val="008F6322"/>
    <w:rsid w:val="008F6559"/>
    <w:rsid w:val="008F6A58"/>
    <w:rsid w:val="009015E1"/>
    <w:rsid w:val="009034A6"/>
    <w:rsid w:val="00907458"/>
    <w:rsid w:val="009109A8"/>
    <w:rsid w:val="00913443"/>
    <w:rsid w:val="009142EC"/>
    <w:rsid w:val="00915580"/>
    <w:rsid w:val="009229B4"/>
    <w:rsid w:val="00925DFE"/>
    <w:rsid w:val="00927DBE"/>
    <w:rsid w:val="00931F15"/>
    <w:rsid w:val="00936ABD"/>
    <w:rsid w:val="009420B7"/>
    <w:rsid w:val="0094419F"/>
    <w:rsid w:val="00945BCA"/>
    <w:rsid w:val="00947579"/>
    <w:rsid w:val="00947B84"/>
    <w:rsid w:val="00953F36"/>
    <w:rsid w:val="009617A8"/>
    <w:rsid w:val="0096262D"/>
    <w:rsid w:val="0096474D"/>
    <w:rsid w:val="00964A92"/>
    <w:rsid w:val="00965CA1"/>
    <w:rsid w:val="00973492"/>
    <w:rsid w:val="00973816"/>
    <w:rsid w:val="00977AD6"/>
    <w:rsid w:val="00982091"/>
    <w:rsid w:val="00983C8B"/>
    <w:rsid w:val="00984D67"/>
    <w:rsid w:val="009857F0"/>
    <w:rsid w:val="0099389C"/>
    <w:rsid w:val="00993E68"/>
    <w:rsid w:val="009A0C26"/>
    <w:rsid w:val="009A1598"/>
    <w:rsid w:val="009A4D27"/>
    <w:rsid w:val="009B010B"/>
    <w:rsid w:val="009B5B35"/>
    <w:rsid w:val="009B5D4D"/>
    <w:rsid w:val="009C0E6A"/>
    <w:rsid w:val="009C3B63"/>
    <w:rsid w:val="009C3D29"/>
    <w:rsid w:val="009C4EAE"/>
    <w:rsid w:val="009C4F30"/>
    <w:rsid w:val="009C5FCB"/>
    <w:rsid w:val="009C732D"/>
    <w:rsid w:val="009D07FD"/>
    <w:rsid w:val="009D0ABA"/>
    <w:rsid w:val="009D0FFD"/>
    <w:rsid w:val="009D1F37"/>
    <w:rsid w:val="009D4D46"/>
    <w:rsid w:val="009E043B"/>
    <w:rsid w:val="009E1E14"/>
    <w:rsid w:val="009E2091"/>
    <w:rsid w:val="009E41BD"/>
    <w:rsid w:val="009E5852"/>
    <w:rsid w:val="009E66A7"/>
    <w:rsid w:val="009F051E"/>
    <w:rsid w:val="009F0A6E"/>
    <w:rsid w:val="009F2A54"/>
    <w:rsid w:val="009F2F26"/>
    <w:rsid w:val="009F46EE"/>
    <w:rsid w:val="009F4C64"/>
    <w:rsid w:val="009F78DB"/>
    <w:rsid w:val="00A02484"/>
    <w:rsid w:val="00A02AF9"/>
    <w:rsid w:val="00A06420"/>
    <w:rsid w:val="00A06607"/>
    <w:rsid w:val="00A07AFD"/>
    <w:rsid w:val="00A17FB9"/>
    <w:rsid w:val="00A21942"/>
    <w:rsid w:val="00A234E9"/>
    <w:rsid w:val="00A23D4C"/>
    <w:rsid w:val="00A262D4"/>
    <w:rsid w:val="00A26979"/>
    <w:rsid w:val="00A26A4C"/>
    <w:rsid w:val="00A31F93"/>
    <w:rsid w:val="00A348BD"/>
    <w:rsid w:val="00A36FA9"/>
    <w:rsid w:val="00A37ADE"/>
    <w:rsid w:val="00A40405"/>
    <w:rsid w:val="00A40C3B"/>
    <w:rsid w:val="00A41FD2"/>
    <w:rsid w:val="00A424F3"/>
    <w:rsid w:val="00A42E59"/>
    <w:rsid w:val="00A43D1C"/>
    <w:rsid w:val="00A554F1"/>
    <w:rsid w:val="00A61531"/>
    <w:rsid w:val="00A62BEF"/>
    <w:rsid w:val="00A63A30"/>
    <w:rsid w:val="00A6478F"/>
    <w:rsid w:val="00A673CA"/>
    <w:rsid w:val="00A7304A"/>
    <w:rsid w:val="00A74A9A"/>
    <w:rsid w:val="00A755F3"/>
    <w:rsid w:val="00A76415"/>
    <w:rsid w:val="00A833B0"/>
    <w:rsid w:val="00A86901"/>
    <w:rsid w:val="00A90E54"/>
    <w:rsid w:val="00A91188"/>
    <w:rsid w:val="00A92EB6"/>
    <w:rsid w:val="00A93430"/>
    <w:rsid w:val="00A95CA9"/>
    <w:rsid w:val="00A95E3C"/>
    <w:rsid w:val="00AA07CF"/>
    <w:rsid w:val="00AA2071"/>
    <w:rsid w:val="00AA2F4F"/>
    <w:rsid w:val="00AB4625"/>
    <w:rsid w:val="00AB5205"/>
    <w:rsid w:val="00AB679E"/>
    <w:rsid w:val="00AB7C7A"/>
    <w:rsid w:val="00AD0F93"/>
    <w:rsid w:val="00AD1EFD"/>
    <w:rsid w:val="00AD2B31"/>
    <w:rsid w:val="00AD4B3D"/>
    <w:rsid w:val="00AD5061"/>
    <w:rsid w:val="00AE7222"/>
    <w:rsid w:val="00AF471D"/>
    <w:rsid w:val="00AF5881"/>
    <w:rsid w:val="00AF6EAB"/>
    <w:rsid w:val="00B006CC"/>
    <w:rsid w:val="00B00AD1"/>
    <w:rsid w:val="00B019F3"/>
    <w:rsid w:val="00B02EA1"/>
    <w:rsid w:val="00B06FE1"/>
    <w:rsid w:val="00B123AD"/>
    <w:rsid w:val="00B13911"/>
    <w:rsid w:val="00B13CBA"/>
    <w:rsid w:val="00B17BC2"/>
    <w:rsid w:val="00B2070D"/>
    <w:rsid w:val="00B23108"/>
    <w:rsid w:val="00B26E80"/>
    <w:rsid w:val="00B30868"/>
    <w:rsid w:val="00B312E6"/>
    <w:rsid w:val="00B3178E"/>
    <w:rsid w:val="00B32B8A"/>
    <w:rsid w:val="00B3360F"/>
    <w:rsid w:val="00B3391B"/>
    <w:rsid w:val="00B357DB"/>
    <w:rsid w:val="00B408D3"/>
    <w:rsid w:val="00B4095B"/>
    <w:rsid w:val="00B40AED"/>
    <w:rsid w:val="00B40BE9"/>
    <w:rsid w:val="00B42E97"/>
    <w:rsid w:val="00B4396D"/>
    <w:rsid w:val="00B449E4"/>
    <w:rsid w:val="00B45E45"/>
    <w:rsid w:val="00B46853"/>
    <w:rsid w:val="00B52D48"/>
    <w:rsid w:val="00B5307B"/>
    <w:rsid w:val="00B5363F"/>
    <w:rsid w:val="00B547B9"/>
    <w:rsid w:val="00B6003C"/>
    <w:rsid w:val="00B608DC"/>
    <w:rsid w:val="00B60F63"/>
    <w:rsid w:val="00B63353"/>
    <w:rsid w:val="00B6374D"/>
    <w:rsid w:val="00B641E8"/>
    <w:rsid w:val="00B65DCA"/>
    <w:rsid w:val="00B677C5"/>
    <w:rsid w:val="00B72198"/>
    <w:rsid w:val="00B72A6D"/>
    <w:rsid w:val="00B74A92"/>
    <w:rsid w:val="00B800F0"/>
    <w:rsid w:val="00B82B88"/>
    <w:rsid w:val="00B83264"/>
    <w:rsid w:val="00B833B1"/>
    <w:rsid w:val="00B8458E"/>
    <w:rsid w:val="00B85A10"/>
    <w:rsid w:val="00B86AB2"/>
    <w:rsid w:val="00B92D3F"/>
    <w:rsid w:val="00B93F46"/>
    <w:rsid w:val="00B970F4"/>
    <w:rsid w:val="00BA0014"/>
    <w:rsid w:val="00BA0919"/>
    <w:rsid w:val="00BA2A9B"/>
    <w:rsid w:val="00BA7530"/>
    <w:rsid w:val="00BA7C1C"/>
    <w:rsid w:val="00BB13A2"/>
    <w:rsid w:val="00BB41C6"/>
    <w:rsid w:val="00BB7125"/>
    <w:rsid w:val="00BC3C0E"/>
    <w:rsid w:val="00BC4796"/>
    <w:rsid w:val="00BC5281"/>
    <w:rsid w:val="00BD1971"/>
    <w:rsid w:val="00BD31BF"/>
    <w:rsid w:val="00BD5411"/>
    <w:rsid w:val="00BD6CE9"/>
    <w:rsid w:val="00BE3DDF"/>
    <w:rsid w:val="00BE60CA"/>
    <w:rsid w:val="00BF0FD0"/>
    <w:rsid w:val="00BF1FEF"/>
    <w:rsid w:val="00BF68F5"/>
    <w:rsid w:val="00C00185"/>
    <w:rsid w:val="00C0172F"/>
    <w:rsid w:val="00C034E3"/>
    <w:rsid w:val="00C04366"/>
    <w:rsid w:val="00C0666A"/>
    <w:rsid w:val="00C06D49"/>
    <w:rsid w:val="00C104FF"/>
    <w:rsid w:val="00C12D91"/>
    <w:rsid w:val="00C16236"/>
    <w:rsid w:val="00C17E06"/>
    <w:rsid w:val="00C20069"/>
    <w:rsid w:val="00C214B4"/>
    <w:rsid w:val="00C23C11"/>
    <w:rsid w:val="00C26159"/>
    <w:rsid w:val="00C27F9E"/>
    <w:rsid w:val="00C403FB"/>
    <w:rsid w:val="00C408F7"/>
    <w:rsid w:val="00C41C6F"/>
    <w:rsid w:val="00C42B9C"/>
    <w:rsid w:val="00C4423E"/>
    <w:rsid w:val="00C44720"/>
    <w:rsid w:val="00C45095"/>
    <w:rsid w:val="00C46C8F"/>
    <w:rsid w:val="00C47076"/>
    <w:rsid w:val="00C4735F"/>
    <w:rsid w:val="00C504FC"/>
    <w:rsid w:val="00C53867"/>
    <w:rsid w:val="00C6186D"/>
    <w:rsid w:val="00C64059"/>
    <w:rsid w:val="00C6420E"/>
    <w:rsid w:val="00C644F9"/>
    <w:rsid w:val="00C6468B"/>
    <w:rsid w:val="00C646F8"/>
    <w:rsid w:val="00C65CEA"/>
    <w:rsid w:val="00C67032"/>
    <w:rsid w:val="00C70E7D"/>
    <w:rsid w:val="00C712BA"/>
    <w:rsid w:val="00C77748"/>
    <w:rsid w:val="00C77C6A"/>
    <w:rsid w:val="00C86D3F"/>
    <w:rsid w:val="00C871F4"/>
    <w:rsid w:val="00C87689"/>
    <w:rsid w:val="00C90D95"/>
    <w:rsid w:val="00C91BC8"/>
    <w:rsid w:val="00C93514"/>
    <w:rsid w:val="00C97FB5"/>
    <w:rsid w:val="00CA4E28"/>
    <w:rsid w:val="00CA5228"/>
    <w:rsid w:val="00CA66D2"/>
    <w:rsid w:val="00CA782F"/>
    <w:rsid w:val="00CA7B35"/>
    <w:rsid w:val="00CA7FE7"/>
    <w:rsid w:val="00CB1769"/>
    <w:rsid w:val="00CB319A"/>
    <w:rsid w:val="00CB5D51"/>
    <w:rsid w:val="00CB7F01"/>
    <w:rsid w:val="00CC48D1"/>
    <w:rsid w:val="00CC48F1"/>
    <w:rsid w:val="00CC4DA1"/>
    <w:rsid w:val="00CD0C32"/>
    <w:rsid w:val="00CD33F9"/>
    <w:rsid w:val="00CD49A1"/>
    <w:rsid w:val="00CD4AF2"/>
    <w:rsid w:val="00CD4EB9"/>
    <w:rsid w:val="00CD61AD"/>
    <w:rsid w:val="00CD7652"/>
    <w:rsid w:val="00CE0F4F"/>
    <w:rsid w:val="00CE3B25"/>
    <w:rsid w:val="00CF5BE6"/>
    <w:rsid w:val="00D006C0"/>
    <w:rsid w:val="00D01D4F"/>
    <w:rsid w:val="00D066C9"/>
    <w:rsid w:val="00D120E7"/>
    <w:rsid w:val="00D12A57"/>
    <w:rsid w:val="00D12C79"/>
    <w:rsid w:val="00D1462B"/>
    <w:rsid w:val="00D14826"/>
    <w:rsid w:val="00D15FF4"/>
    <w:rsid w:val="00D201F5"/>
    <w:rsid w:val="00D2179F"/>
    <w:rsid w:val="00D21BDC"/>
    <w:rsid w:val="00D31242"/>
    <w:rsid w:val="00D31887"/>
    <w:rsid w:val="00D421A6"/>
    <w:rsid w:val="00D44A21"/>
    <w:rsid w:val="00D53620"/>
    <w:rsid w:val="00D543B2"/>
    <w:rsid w:val="00D566B1"/>
    <w:rsid w:val="00D6635A"/>
    <w:rsid w:val="00D66615"/>
    <w:rsid w:val="00D67AAC"/>
    <w:rsid w:val="00D67C01"/>
    <w:rsid w:val="00D70DA7"/>
    <w:rsid w:val="00D7381D"/>
    <w:rsid w:val="00D73D63"/>
    <w:rsid w:val="00D74F55"/>
    <w:rsid w:val="00D812B2"/>
    <w:rsid w:val="00D81E57"/>
    <w:rsid w:val="00D95A4A"/>
    <w:rsid w:val="00DA26F8"/>
    <w:rsid w:val="00DA7461"/>
    <w:rsid w:val="00DB21B7"/>
    <w:rsid w:val="00DB559C"/>
    <w:rsid w:val="00DB675C"/>
    <w:rsid w:val="00DB787E"/>
    <w:rsid w:val="00DC0A58"/>
    <w:rsid w:val="00DC2F35"/>
    <w:rsid w:val="00DD6616"/>
    <w:rsid w:val="00DD6FE4"/>
    <w:rsid w:val="00DD72F5"/>
    <w:rsid w:val="00DE0929"/>
    <w:rsid w:val="00DE0A13"/>
    <w:rsid w:val="00DE4B8D"/>
    <w:rsid w:val="00DE5479"/>
    <w:rsid w:val="00DF028D"/>
    <w:rsid w:val="00DF06FC"/>
    <w:rsid w:val="00DF0C17"/>
    <w:rsid w:val="00DF1CB9"/>
    <w:rsid w:val="00DF257F"/>
    <w:rsid w:val="00DF2B21"/>
    <w:rsid w:val="00DF3A34"/>
    <w:rsid w:val="00DF4413"/>
    <w:rsid w:val="00DF6B40"/>
    <w:rsid w:val="00DF7030"/>
    <w:rsid w:val="00DF764F"/>
    <w:rsid w:val="00E036D6"/>
    <w:rsid w:val="00E047F5"/>
    <w:rsid w:val="00E06654"/>
    <w:rsid w:val="00E06ED4"/>
    <w:rsid w:val="00E1543D"/>
    <w:rsid w:val="00E1571D"/>
    <w:rsid w:val="00E20237"/>
    <w:rsid w:val="00E21411"/>
    <w:rsid w:val="00E23020"/>
    <w:rsid w:val="00E2686B"/>
    <w:rsid w:val="00E2688B"/>
    <w:rsid w:val="00E3193A"/>
    <w:rsid w:val="00E469CA"/>
    <w:rsid w:val="00E46C56"/>
    <w:rsid w:val="00E502D9"/>
    <w:rsid w:val="00E51A31"/>
    <w:rsid w:val="00E5245C"/>
    <w:rsid w:val="00E568A4"/>
    <w:rsid w:val="00E6092E"/>
    <w:rsid w:val="00E60A08"/>
    <w:rsid w:val="00E6700B"/>
    <w:rsid w:val="00E71815"/>
    <w:rsid w:val="00E71EC3"/>
    <w:rsid w:val="00E721CC"/>
    <w:rsid w:val="00E72D3D"/>
    <w:rsid w:val="00E74737"/>
    <w:rsid w:val="00E74E94"/>
    <w:rsid w:val="00E76EE2"/>
    <w:rsid w:val="00E838ED"/>
    <w:rsid w:val="00E83DFC"/>
    <w:rsid w:val="00E842AA"/>
    <w:rsid w:val="00E9021C"/>
    <w:rsid w:val="00E9204C"/>
    <w:rsid w:val="00E92776"/>
    <w:rsid w:val="00E94422"/>
    <w:rsid w:val="00EA37F4"/>
    <w:rsid w:val="00EA4BFC"/>
    <w:rsid w:val="00EA6D07"/>
    <w:rsid w:val="00EB054B"/>
    <w:rsid w:val="00EB533B"/>
    <w:rsid w:val="00EB53FF"/>
    <w:rsid w:val="00EC4207"/>
    <w:rsid w:val="00EC6730"/>
    <w:rsid w:val="00ED11C8"/>
    <w:rsid w:val="00ED1C66"/>
    <w:rsid w:val="00ED26AB"/>
    <w:rsid w:val="00ED3B84"/>
    <w:rsid w:val="00ED3DFB"/>
    <w:rsid w:val="00ED4F43"/>
    <w:rsid w:val="00ED521E"/>
    <w:rsid w:val="00ED5990"/>
    <w:rsid w:val="00ED7083"/>
    <w:rsid w:val="00EE3D3D"/>
    <w:rsid w:val="00EE4B9D"/>
    <w:rsid w:val="00EF1AB4"/>
    <w:rsid w:val="00EF495B"/>
    <w:rsid w:val="00EF53E9"/>
    <w:rsid w:val="00F10317"/>
    <w:rsid w:val="00F11000"/>
    <w:rsid w:val="00F110DD"/>
    <w:rsid w:val="00F15495"/>
    <w:rsid w:val="00F21FCD"/>
    <w:rsid w:val="00F23085"/>
    <w:rsid w:val="00F25D14"/>
    <w:rsid w:val="00F30E33"/>
    <w:rsid w:val="00F33745"/>
    <w:rsid w:val="00F34300"/>
    <w:rsid w:val="00F35167"/>
    <w:rsid w:val="00F355C0"/>
    <w:rsid w:val="00F35A6D"/>
    <w:rsid w:val="00F3715E"/>
    <w:rsid w:val="00F37FBC"/>
    <w:rsid w:val="00F406F1"/>
    <w:rsid w:val="00F41398"/>
    <w:rsid w:val="00F41AA0"/>
    <w:rsid w:val="00F559B0"/>
    <w:rsid w:val="00F57E6B"/>
    <w:rsid w:val="00F608A2"/>
    <w:rsid w:val="00F6298F"/>
    <w:rsid w:val="00F6480E"/>
    <w:rsid w:val="00F64901"/>
    <w:rsid w:val="00F64B6D"/>
    <w:rsid w:val="00F66896"/>
    <w:rsid w:val="00F67F09"/>
    <w:rsid w:val="00F70854"/>
    <w:rsid w:val="00F718E5"/>
    <w:rsid w:val="00F76044"/>
    <w:rsid w:val="00F76B08"/>
    <w:rsid w:val="00F76D72"/>
    <w:rsid w:val="00F81B82"/>
    <w:rsid w:val="00F83E22"/>
    <w:rsid w:val="00F92902"/>
    <w:rsid w:val="00F94C15"/>
    <w:rsid w:val="00F96E48"/>
    <w:rsid w:val="00FB1490"/>
    <w:rsid w:val="00FC04B4"/>
    <w:rsid w:val="00FC1F93"/>
    <w:rsid w:val="00FC41C4"/>
    <w:rsid w:val="00FC43F1"/>
    <w:rsid w:val="00FC5883"/>
    <w:rsid w:val="00FD1BB1"/>
    <w:rsid w:val="00FD2FC9"/>
    <w:rsid w:val="00FD439B"/>
    <w:rsid w:val="00FD5E9E"/>
    <w:rsid w:val="00FD6006"/>
    <w:rsid w:val="00FD7325"/>
    <w:rsid w:val="00FE289E"/>
    <w:rsid w:val="00FE33F0"/>
    <w:rsid w:val="00FE3910"/>
    <w:rsid w:val="00FE55CC"/>
    <w:rsid w:val="00FE566A"/>
    <w:rsid w:val="00FF0B54"/>
    <w:rsid w:val="00FF15CE"/>
    <w:rsid w:val="00FF50BA"/>
    <w:rsid w:val="00FF5BAA"/>
    <w:rsid w:val="00FF6191"/>
    <w:rsid w:val="00FF6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18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ind w:right="226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jc w:val="both"/>
      <w:outlineLvl w:val="5"/>
    </w:pPr>
    <w:rPr>
      <w:i/>
      <w:iCs/>
      <w:color w:val="000000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B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customStyle="1" w:styleId="Subhead1">
    <w:name w:val="Subhead 1"/>
    <w:basedOn w:val="a"/>
    <w:pPr>
      <w:overflowPunct w:val="0"/>
      <w:autoSpaceDE w:val="0"/>
      <w:autoSpaceDN w:val="0"/>
      <w:adjustRightInd w:val="0"/>
      <w:textAlignment w:val="baseline"/>
    </w:pPr>
    <w:rPr>
      <w:b/>
      <w:sz w:val="36"/>
    </w:rPr>
  </w:style>
  <w:style w:type="paragraph" w:styleId="20">
    <w:name w:val="Body Text 2"/>
    <w:basedOn w:val="a"/>
    <w:semiHidden/>
    <w:pPr>
      <w:spacing w:after="120" w:line="480" w:lineRule="auto"/>
    </w:p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customStyle="1" w:styleId="Normal1">
    <w:name w:val="Normal1"/>
    <w:pPr>
      <w:widowControl w:val="0"/>
    </w:pPr>
  </w:style>
  <w:style w:type="paragraph" w:customStyle="1" w:styleId="11">
    <w:name w:val="Текст выноски1"/>
    <w:basedOn w:val="a"/>
    <w:semiHidden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"/>
    <w:basedOn w:val="a"/>
    <w:autoRedefine/>
    <w:pPr>
      <w:suppressAutoHyphens/>
      <w:spacing w:after="160" w:line="360" w:lineRule="auto"/>
      <w:jc w:val="center"/>
    </w:pPr>
    <w:rPr>
      <w:sz w:val="22"/>
      <w:szCs w:val="22"/>
      <w:lang w:eastAsia="ar-SA"/>
    </w:rPr>
  </w:style>
  <w:style w:type="paragraph" w:customStyle="1" w:styleId="21">
    <w:name w:val="Знак Знак Знак Знак Знак Знак2"/>
    <w:basedOn w:val="a"/>
    <w:autoRedefine/>
    <w:pPr>
      <w:spacing w:after="160" w:line="360" w:lineRule="auto"/>
      <w:jc w:val="center"/>
    </w:pPr>
    <w:rPr>
      <w:sz w:val="22"/>
      <w:szCs w:val="22"/>
    </w:rPr>
  </w:style>
  <w:style w:type="paragraph" w:styleId="a9">
    <w:name w:val="Body Text Indent"/>
    <w:basedOn w:val="a"/>
    <w:semiHidden/>
    <w:pPr>
      <w:jc w:val="both"/>
    </w:pPr>
    <w:rPr>
      <w:rFonts w:ascii="Bookman Old Style KK EK" w:hAnsi="Bookman Old Style KK EK"/>
      <w:i/>
      <w:iCs/>
      <w:sz w:val="28"/>
      <w:szCs w:val="28"/>
      <w:lang w:val="be-BY" w:eastAsia="en-US"/>
    </w:rPr>
  </w:style>
  <w:style w:type="paragraph" w:styleId="31">
    <w:name w:val="Body Text 3"/>
    <w:basedOn w:val="a"/>
    <w:semiHidden/>
    <w:pPr>
      <w:ind w:right="57"/>
      <w:jc w:val="both"/>
    </w:pPr>
    <w:rPr>
      <w:sz w:val="28"/>
      <w:szCs w:val="28"/>
    </w:rPr>
  </w:style>
  <w:style w:type="paragraph" w:styleId="22">
    <w:name w:val="Body Text Indent 2"/>
    <w:basedOn w:val="a"/>
    <w:semiHidden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customStyle="1" w:styleId="USRALblNormal">
    <w:name w:val="USRA Lbl Normal"/>
    <w:rsid w:val="004E3B2C"/>
    <w:pPr>
      <w:ind w:left="720"/>
      <w:jc w:val="both"/>
    </w:pPr>
    <w:rPr>
      <w:sz w:val="24"/>
      <w:szCs w:val="24"/>
      <w:lang w:val="en-GB" w:eastAsia="en-US"/>
    </w:rPr>
  </w:style>
  <w:style w:type="paragraph" w:customStyle="1" w:styleId="A-TableText">
    <w:name w:val="A-Table Text"/>
    <w:rsid w:val="00493411"/>
    <w:pPr>
      <w:spacing w:before="60" w:after="60"/>
    </w:pPr>
    <w:rPr>
      <w:sz w:val="22"/>
      <w:szCs w:val="22"/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ED26AB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D26AB"/>
    <w:rPr>
      <w:rFonts w:ascii="Tahoma" w:hAnsi="Tahoma" w:cs="Tahoma"/>
      <w:sz w:val="16"/>
      <w:szCs w:val="16"/>
      <w:lang w:val="ru-RU" w:eastAsia="ru-RU"/>
    </w:rPr>
  </w:style>
  <w:style w:type="character" w:customStyle="1" w:styleId="hps">
    <w:name w:val="hps"/>
    <w:basedOn w:val="a0"/>
    <w:rsid w:val="00BA7530"/>
  </w:style>
  <w:style w:type="character" w:customStyle="1" w:styleId="10">
    <w:name w:val="Заголовок 1 Знак"/>
    <w:link w:val="1"/>
    <w:rsid w:val="00CD4EB9"/>
    <w:rPr>
      <w:sz w:val="28"/>
      <w:lang w:val="ru-RU" w:eastAsia="ru-RU"/>
    </w:rPr>
  </w:style>
  <w:style w:type="character" w:styleId="ac">
    <w:name w:val="Hyperlink"/>
    <w:uiPriority w:val="99"/>
    <w:unhideWhenUsed/>
    <w:rsid w:val="00CD4EB9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F718E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F718E5"/>
  </w:style>
  <w:style w:type="character" w:customStyle="1" w:styleId="30">
    <w:name w:val="Заголовок 3 Знак"/>
    <w:link w:val="3"/>
    <w:rsid w:val="00E721CC"/>
    <w:rPr>
      <w:b/>
      <w:sz w:val="28"/>
      <w:lang w:val="en-US"/>
    </w:rPr>
  </w:style>
  <w:style w:type="character" w:styleId="ae">
    <w:name w:val="annotation reference"/>
    <w:uiPriority w:val="99"/>
    <w:semiHidden/>
    <w:unhideWhenUsed/>
    <w:rsid w:val="0071564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15643"/>
  </w:style>
  <w:style w:type="character" w:customStyle="1" w:styleId="af0">
    <w:name w:val="Текст примечания Знак"/>
    <w:basedOn w:val="a0"/>
    <w:link w:val="af"/>
    <w:uiPriority w:val="99"/>
    <w:semiHidden/>
    <w:rsid w:val="0071564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15643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715643"/>
    <w:rPr>
      <w:b/>
      <w:bCs/>
    </w:rPr>
  </w:style>
  <w:style w:type="paragraph" w:styleId="af3">
    <w:name w:val="No Spacing"/>
    <w:uiPriority w:val="1"/>
    <w:qFormat/>
    <w:rsid w:val="003C3F60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321FFA"/>
    <w:rPr>
      <w:color w:val="605E5C"/>
      <w:shd w:val="clear" w:color="auto" w:fill="E1DFDD"/>
    </w:rPr>
  </w:style>
  <w:style w:type="paragraph" w:styleId="af4">
    <w:name w:val="List Paragraph"/>
    <w:basedOn w:val="a"/>
    <w:uiPriority w:val="1"/>
    <w:qFormat/>
    <w:rsid w:val="008C4188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paragraph" w:customStyle="1" w:styleId="ConsPlusNormal">
    <w:name w:val="ConsPlusNormal"/>
    <w:rsid w:val="00280D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5">
    <w:name w:val="Table Grid"/>
    <w:basedOn w:val="a1"/>
    <w:uiPriority w:val="39"/>
    <w:rsid w:val="001C73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5F6B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5">
    <w:name w:val="Верхний колонтитул Знак"/>
    <w:basedOn w:val="a0"/>
    <w:link w:val="a4"/>
    <w:rsid w:val="001D2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18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ind w:right="226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jc w:val="both"/>
      <w:outlineLvl w:val="5"/>
    </w:pPr>
    <w:rPr>
      <w:i/>
      <w:iCs/>
      <w:color w:val="000000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B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customStyle="1" w:styleId="Subhead1">
    <w:name w:val="Subhead 1"/>
    <w:basedOn w:val="a"/>
    <w:pPr>
      <w:overflowPunct w:val="0"/>
      <w:autoSpaceDE w:val="0"/>
      <w:autoSpaceDN w:val="0"/>
      <w:adjustRightInd w:val="0"/>
      <w:textAlignment w:val="baseline"/>
    </w:pPr>
    <w:rPr>
      <w:b/>
      <w:sz w:val="36"/>
    </w:rPr>
  </w:style>
  <w:style w:type="paragraph" w:styleId="20">
    <w:name w:val="Body Text 2"/>
    <w:basedOn w:val="a"/>
    <w:semiHidden/>
    <w:pPr>
      <w:spacing w:after="120" w:line="480" w:lineRule="auto"/>
    </w:p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customStyle="1" w:styleId="Normal1">
    <w:name w:val="Normal1"/>
    <w:pPr>
      <w:widowControl w:val="0"/>
    </w:pPr>
  </w:style>
  <w:style w:type="paragraph" w:customStyle="1" w:styleId="11">
    <w:name w:val="Текст выноски1"/>
    <w:basedOn w:val="a"/>
    <w:semiHidden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"/>
    <w:basedOn w:val="a"/>
    <w:autoRedefine/>
    <w:pPr>
      <w:suppressAutoHyphens/>
      <w:spacing w:after="160" w:line="360" w:lineRule="auto"/>
      <w:jc w:val="center"/>
    </w:pPr>
    <w:rPr>
      <w:sz w:val="22"/>
      <w:szCs w:val="22"/>
      <w:lang w:eastAsia="ar-SA"/>
    </w:rPr>
  </w:style>
  <w:style w:type="paragraph" w:customStyle="1" w:styleId="21">
    <w:name w:val="Знак Знак Знак Знак Знак Знак2"/>
    <w:basedOn w:val="a"/>
    <w:autoRedefine/>
    <w:pPr>
      <w:spacing w:after="160" w:line="360" w:lineRule="auto"/>
      <w:jc w:val="center"/>
    </w:pPr>
    <w:rPr>
      <w:sz w:val="22"/>
      <w:szCs w:val="22"/>
    </w:rPr>
  </w:style>
  <w:style w:type="paragraph" w:styleId="a9">
    <w:name w:val="Body Text Indent"/>
    <w:basedOn w:val="a"/>
    <w:semiHidden/>
    <w:pPr>
      <w:jc w:val="both"/>
    </w:pPr>
    <w:rPr>
      <w:rFonts w:ascii="Bookman Old Style KK EK" w:hAnsi="Bookman Old Style KK EK"/>
      <w:i/>
      <w:iCs/>
      <w:sz w:val="28"/>
      <w:szCs w:val="28"/>
      <w:lang w:val="be-BY" w:eastAsia="en-US"/>
    </w:rPr>
  </w:style>
  <w:style w:type="paragraph" w:styleId="31">
    <w:name w:val="Body Text 3"/>
    <w:basedOn w:val="a"/>
    <w:semiHidden/>
    <w:pPr>
      <w:ind w:right="57"/>
      <w:jc w:val="both"/>
    </w:pPr>
    <w:rPr>
      <w:sz w:val="28"/>
      <w:szCs w:val="28"/>
    </w:rPr>
  </w:style>
  <w:style w:type="paragraph" w:styleId="22">
    <w:name w:val="Body Text Indent 2"/>
    <w:basedOn w:val="a"/>
    <w:semiHidden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customStyle="1" w:styleId="USRALblNormal">
    <w:name w:val="USRA Lbl Normal"/>
    <w:rsid w:val="004E3B2C"/>
    <w:pPr>
      <w:ind w:left="720"/>
      <w:jc w:val="both"/>
    </w:pPr>
    <w:rPr>
      <w:sz w:val="24"/>
      <w:szCs w:val="24"/>
      <w:lang w:val="en-GB" w:eastAsia="en-US"/>
    </w:rPr>
  </w:style>
  <w:style w:type="paragraph" w:customStyle="1" w:styleId="A-TableText">
    <w:name w:val="A-Table Text"/>
    <w:rsid w:val="00493411"/>
    <w:pPr>
      <w:spacing w:before="60" w:after="60"/>
    </w:pPr>
    <w:rPr>
      <w:sz w:val="22"/>
      <w:szCs w:val="22"/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ED26AB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D26AB"/>
    <w:rPr>
      <w:rFonts w:ascii="Tahoma" w:hAnsi="Tahoma" w:cs="Tahoma"/>
      <w:sz w:val="16"/>
      <w:szCs w:val="16"/>
      <w:lang w:val="ru-RU" w:eastAsia="ru-RU"/>
    </w:rPr>
  </w:style>
  <w:style w:type="character" w:customStyle="1" w:styleId="hps">
    <w:name w:val="hps"/>
    <w:basedOn w:val="a0"/>
    <w:rsid w:val="00BA7530"/>
  </w:style>
  <w:style w:type="character" w:customStyle="1" w:styleId="10">
    <w:name w:val="Заголовок 1 Знак"/>
    <w:link w:val="1"/>
    <w:rsid w:val="00CD4EB9"/>
    <w:rPr>
      <w:sz w:val="28"/>
      <w:lang w:val="ru-RU" w:eastAsia="ru-RU"/>
    </w:rPr>
  </w:style>
  <w:style w:type="character" w:styleId="ac">
    <w:name w:val="Hyperlink"/>
    <w:uiPriority w:val="99"/>
    <w:unhideWhenUsed/>
    <w:rsid w:val="00CD4EB9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F718E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F718E5"/>
  </w:style>
  <w:style w:type="character" w:customStyle="1" w:styleId="30">
    <w:name w:val="Заголовок 3 Знак"/>
    <w:link w:val="3"/>
    <w:rsid w:val="00E721CC"/>
    <w:rPr>
      <w:b/>
      <w:sz w:val="28"/>
      <w:lang w:val="en-US"/>
    </w:rPr>
  </w:style>
  <w:style w:type="character" w:styleId="ae">
    <w:name w:val="annotation reference"/>
    <w:uiPriority w:val="99"/>
    <w:semiHidden/>
    <w:unhideWhenUsed/>
    <w:rsid w:val="0071564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15643"/>
  </w:style>
  <w:style w:type="character" w:customStyle="1" w:styleId="af0">
    <w:name w:val="Текст примечания Знак"/>
    <w:basedOn w:val="a0"/>
    <w:link w:val="af"/>
    <w:uiPriority w:val="99"/>
    <w:semiHidden/>
    <w:rsid w:val="0071564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15643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715643"/>
    <w:rPr>
      <w:b/>
      <w:bCs/>
    </w:rPr>
  </w:style>
  <w:style w:type="paragraph" w:styleId="af3">
    <w:name w:val="No Spacing"/>
    <w:uiPriority w:val="1"/>
    <w:qFormat/>
    <w:rsid w:val="003C3F60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321FFA"/>
    <w:rPr>
      <w:color w:val="605E5C"/>
      <w:shd w:val="clear" w:color="auto" w:fill="E1DFDD"/>
    </w:rPr>
  </w:style>
  <w:style w:type="paragraph" w:styleId="af4">
    <w:name w:val="List Paragraph"/>
    <w:basedOn w:val="a"/>
    <w:uiPriority w:val="1"/>
    <w:qFormat/>
    <w:rsid w:val="008C4188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paragraph" w:customStyle="1" w:styleId="ConsPlusNormal">
    <w:name w:val="ConsPlusNormal"/>
    <w:rsid w:val="00280D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5">
    <w:name w:val="Table Grid"/>
    <w:basedOn w:val="a1"/>
    <w:uiPriority w:val="39"/>
    <w:rsid w:val="001C73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5F6B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5">
    <w:name w:val="Верхний колонтитул Знак"/>
    <w:basedOn w:val="a0"/>
    <w:link w:val="a4"/>
    <w:rsid w:val="001D2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0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70B97-7D35-4A63-90F1-F6D9AE24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5350</Words>
  <Characters>30499</Characters>
  <Application>Microsoft Office Word</Application>
  <DocSecurity>0</DocSecurity>
  <Lines>254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УТВЕРЖДЕНА</vt:lpstr>
      <vt:lpstr>УТВЕРЖДЕНА</vt:lpstr>
    </vt:vector>
  </TitlesOfParts>
  <Company>AstraZeneca</Company>
  <LinksUpToDate>false</LinksUpToDate>
  <CharactersWithSpaces>35778</CharactersWithSpaces>
  <SharedDoc>false</SharedDoc>
  <HLinks>
    <vt:vector size="18" baseType="variant">
      <vt:variant>
        <vt:i4>5832801</vt:i4>
      </vt:variant>
      <vt:variant>
        <vt:i4>6</vt:i4>
      </vt:variant>
      <vt:variant>
        <vt:i4>0</vt:i4>
      </vt:variant>
      <vt:variant>
        <vt:i4>5</vt:i4>
      </vt:variant>
      <vt:variant>
        <vt:lpwstr>mailto:adverse.events.kz@astrazeneca.com</vt:lpwstr>
      </vt:variant>
      <vt:variant>
        <vt:lpwstr/>
      </vt:variant>
      <vt:variant>
        <vt:i4>5832801</vt:i4>
      </vt:variant>
      <vt:variant>
        <vt:i4>3</vt:i4>
      </vt:variant>
      <vt:variant>
        <vt:i4>0</vt:i4>
      </vt:variant>
      <vt:variant>
        <vt:i4>5</vt:i4>
      </vt:variant>
      <vt:variant>
        <vt:lpwstr>mailto:adverse.events.kz@astrazeneca.com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тесм</dc:creator>
  <cp:lastModifiedBy>Коранова Толганай Сабыровна</cp:lastModifiedBy>
  <cp:revision>7</cp:revision>
  <cp:lastPrinted>2018-03-14T04:03:00Z</cp:lastPrinted>
  <dcterms:created xsi:type="dcterms:W3CDTF">2022-09-26T03:01:00Z</dcterms:created>
  <dcterms:modified xsi:type="dcterms:W3CDTF">2022-11-20T17:08:00Z</dcterms:modified>
</cp:coreProperties>
</file>