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4B" w:rsidRPr="005A6418" w:rsidRDefault="000C6871" w:rsidP="005A6418">
      <w:pPr>
        <w:ind w:left="5670"/>
        <w:rPr>
          <w:b/>
          <w:spacing w:val="-4"/>
          <w:lang w:val="ru-RU"/>
        </w:rPr>
      </w:pPr>
      <w:bookmarkStart w:id="0" w:name="_GoBack"/>
      <w:bookmarkEnd w:id="0"/>
      <w:r w:rsidRPr="005A6418">
        <w:rPr>
          <w:b/>
          <w:spacing w:val="-4"/>
          <w:lang w:val="ru-RU"/>
        </w:rPr>
        <w:t>УТВЕРЖДЕНА</w:t>
      </w:r>
    </w:p>
    <w:p w:rsidR="00A65B4B" w:rsidRPr="005A6418" w:rsidRDefault="000C6871" w:rsidP="005A6418">
      <w:pPr>
        <w:ind w:left="5670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Приказом Председателя </w:t>
      </w:r>
    </w:p>
    <w:p w:rsidR="00A65B4B" w:rsidRPr="005A6418" w:rsidRDefault="000C6871" w:rsidP="005A6418">
      <w:pPr>
        <w:ind w:left="5670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РГУ «Комитет медицинского и </w:t>
      </w:r>
    </w:p>
    <w:p w:rsidR="00A65B4B" w:rsidRPr="005A6418" w:rsidRDefault="000C6871" w:rsidP="005A6418">
      <w:pPr>
        <w:ind w:left="5670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фармацевтического контроля Министерства здравоохранения </w:t>
      </w:r>
    </w:p>
    <w:p w:rsidR="00A65B4B" w:rsidRPr="005A6418" w:rsidRDefault="000C6871" w:rsidP="005A6418">
      <w:pPr>
        <w:keepNext/>
        <w:ind w:left="5670"/>
        <w:rPr>
          <w:spacing w:val="-4"/>
          <w:lang w:val="ru-RU"/>
        </w:rPr>
      </w:pPr>
      <w:r w:rsidRPr="005A6418">
        <w:rPr>
          <w:spacing w:val="-4"/>
          <w:lang w:val="ru-RU"/>
        </w:rPr>
        <w:t>Республики Казахстан»</w:t>
      </w:r>
    </w:p>
    <w:p w:rsidR="00A65B4B" w:rsidRPr="005A6418" w:rsidRDefault="00CA022F" w:rsidP="005A6418">
      <w:pPr>
        <w:ind w:left="5670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от </w:t>
      </w:r>
      <w:r w:rsidR="00EF2C25">
        <w:rPr>
          <w:spacing w:val="-4"/>
          <w:lang w:val="ru-RU"/>
        </w:rPr>
        <w:t>«__» _________ 20__</w:t>
      </w:r>
      <w:r w:rsidRPr="005A6418">
        <w:rPr>
          <w:spacing w:val="-4"/>
          <w:lang w:val="ru-RU"/>
        </w:rPr>
        <w:t xml:space="preserve"> </w:t>
      </w:r>
      <w:r w:rsidR="000C6871" w:rsidRPr="005A6418">
        <w:rPr>
          <w:spacing w:val="-4"/>
          <w:lang w:val="ru-RU"/>
        </w:rPr>
        <w:t xml:space="preserve">г. </w:t>
      </w:r>
    </w:p>
    <w:p w:rsidR="00A65B4B" w:rsidRPr="005A6418" w:rsidRDefault="000C6871" w:rsidP="005A6418">
      <w:pPr>
        <w:ind w:left="5670"/>
        <w:rPr>
          <w:spacing w:val="-4"/>
          <w:lang w:val="ru-RU"/>
        </w:rPr>
      </w:pPr>
      <w:r w:rsidRPr="005A6418">
        <w:rPr>
          <w:spacing w:val="-4"/>
          <w:lang w:val="ru-RU"/>
        </w:rPr>
        <w:t>№</w:t>
      </w:r>
      <w:r w:rsidR="0060481D" w:rsidRPr="00EF2C25">
        <w:rPr>
          <w:lang w:val="ru-RU"/>
        </w:rPr>
        <w:t xml:space="preserve"> </w:t>
      </w:r>
      <w:r w:rsidR="00EF2C25">
        <w:rPr>
          <w:spacing w:val="-4"/>
          <w:lang w:val="ru-RU"/>
        </w:rPr>
        <w:t>__________</w:t>
      </w:r>
    </w:p>
    <w:p w:rsidR="00A65B4B" w:rsidRPr="005A6418" w:rsidRDefault="00A65B4B" w:rsidP="005A6418">
      <w:pPr>
        <w:jc w:val="center"/>
        <w:rPr>
          <w:b/>
          <w:spacing w:val="-4"/>
          <w:lang w:val="ru-RU"/>
        </w:rPr>
      </w:pPr>
    </w:p>
    <w:p w:rsidR="00A65B4B" w:rsidRPr="005A6418" w:rsidRDefault="000C6871" w:rsidP="005A6418">
      <w:pPr>
        <w:jc w:val="center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ОБЩАЯ ХАРАКТЕРИСТИКА ЛЕКАРСТВЕННОГО ПРЕПАРАТА</w:t>
      </w:r>
    </w:p>
    <w:p w:rsidR="00A65B4B" w:rsidRPr="005A6418" w:rsidRDefault="00A65B4B" w:rsidP="005A6418">
      <w:pPr>
        <w:jc w:val="center"/>
        <w:rPr>
          <w:b/>
          <w:spacing w:val="-4"/>
          <w:lang w:val="ru-RU"/>
        </w:rPr>
      </w:pP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1. НАИМЕНОВАНИЕ ЛЕКАРСТВЕННОГО ПРЕПАРАТА</w:t>
      </w:r>
    </w:p>
    <w:p w:rsidR="00A65B4B" w:rsidRPr="0095766E" w:rsidRDefault="006977E7" w:rsidP="005A6418">
      <w:pPr>
        <w:jc w:val="both"/>
        <w:rPr>
          <w:spacing w:val="-4"/>
          <w:lang w:val="ru-RU"/>
        </w:rPr>
      </w:pPr>
      <w:r w:rsidRPr="00DE2664">
        <w:rPr>
          <w:bCs/>
          <w:caps/>
          <w:lang w:val="ru-RU"/>
        </w:rPr>
        <w:t>[</w:t>
      </w:r>
      <w:r w:rsidRPr="00DE2664">
        <w:rPr>
          <w:bCs/>
          <w:caps/>
          <w:highlight w:val="lightGray"/>
          <w:lang w:val="ru-RU"/>
        </w:rPr>
        <w:t>ТОРГОВОЕ НАЗВАНИЕ</w:t>
      </w:r>
      <w:r w:rsidRPr="00DE2664">
        <w:rPr>
          <w:bCs/>
          <w:caps/>
          <w:lang w:val="ru-RU"/>
        </w:rPr>
        <w:t>]</w:t>
      </w:r>
      <w:r w:rsidR="000C6871" w:rsidRPr="0095766E">
        <w:rPr>
          <w:spacing w:val="-4"/>
          <w:lang w:val="ru-RU"/>
        </w:rPr>
        <w:t xml:space="preserve">, </w:t>
      </w:r>
      <w:r w:rsidR="00342C34" w:rsidRPr="0095766E">
        <w:rPr>
          <w:spacing w:val="-4"/>
          <w:lang w:val="ru-RU"/>
        </w:rPr>
        <w:t xml:space="preserve">250 мг, </w:t>
      </w:r>
      <w:r w:rsidR="000C6871" w:rsidRPr="0095766E">
        <w:rPr>
          <w:spacing w:val="-4"/>
          <w:lang w:val="ru-RU"/>
        </w:rPr>
        <w:t xml:space="preserve">капсулы </w:t>
      </w:r>
    </w:p>
    <w:p w:rsidR="00A65B4B" w:rsidRPr="005A6418" w:rsidRDefault="00A65B4B" w:rsidP="005A6418">
      <w:pPr>
        <w:jc w:val="both"/>
        <w:rPr>
          <w:b/>
          <w:spacing w:val="-4"/>
          <w:lang w:val="ru-RU"/>
        </w:rPr>
      </w:pPr>
    </w:p>
    <w:p w:rsidR="00A65B4B" w:rsidRPr="005A6418" w:rsidRDefault="000C6871" w:rsidP="005A6418">
      <w:pPr>
        <w:jc w:val="both"/>
        <w:rPr>
          <w:b/>
          <w:smallCaps/>
          <w:spacing w:val="-4"/>
          <w:lang w:val="ru-RU"/>
        </w:rPr>
      </w:pPr>
      <w:r w:rsidRPr="005A6418">
        <w:rPr>
          <w:b/>
          <w:smallCaps/>
          <w:spacing w:val="-4"/>
          <w:lang w:val="ru-RU"/>
        </w:rPr>
        <w:t>2.</w:t>
      </w:r>
      <w:r w:rsidR="005A6418">
        <w:rPr>
          <w:b/>
          <w:smallCaps/>
          <w:spacing w:val="-4"/>
          <w:lang w:val="ru-RU"/>
        </w:rPr>
        <w:t xml:space="preserve"> </w:t>
      </w:r>
      <w:r w:rsidRPr="005A6418">
        <w:rPr>
          <w:b/>
          <w:smallCaps/>
          <w:spacing w:val="-4"/>
          <w:lang w:val="ru-RU"/>
        </w:rPr>
        <w:t>КАЧЕСТВЕННЫЙ И КОЛИЧЕСТВЕННЫЙ СОСТАВ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2.1 Общее описание 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Микофенолата мофетил 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2.2 Качественный и количественный состав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Одна капсула содержит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i/>
          <w:spacing w:val="-4"/>
          <w:lang w:val="ru-RU"/>
        </w:rPr>
        <w:t>активное вещество</w:t>
      </w:r>
      <w:r w:rsidRPr="005A6418">
        <w:rPr>
          <w:spacing w:val="-4"/>
          <w:lang w:val="ru-RU"/>
        </w:rPr>
        <w:t xml:space="preserve"> - микофенолата мофетил 250 мг.</w:t>
      </w:r>
    </w:p>
    <w:p w:rsidR="006977E7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Вспомогательные вещества, наличие которых надо учитывать в составе лекарственного </w:t>
      </w:r>
      <w:r w:rsidRPr="0095766E">
        <w:rPr>
          <w:spacing w:val="-4"/>
          <w:lang w:val="ru-RU"/>
        </w:rPr>
        <w:t xml:space="preserve">препарата: </w:t>
      </w:r>
      <w:r w:rsidR="00DE2664" w:rsidRPr="00DE2664">
        <w:rPr>
          <w:spacing w:val="-4"/>
          <w:lang w:val="ru-RU"/>
        </w:rPr>
        <w:t>[</w:t>
      </w:r>
      <w:r w:rsidR="00DE2664" w:rsidRPr="00DE2664">
        <w:rPr>
          <w:spacing w:val="-4"/>
          <w:highlight w:val="lightGray"/>
          <w:lang w:val="ru-RU"/>
        </w:rPr>
        <w:t>СОГЛАСНО НД РК И ПРИЛОЖЕНИЯ 17 ПРИКАЗА 10</w:t>
      </w:r>
      <w:r w:rsidR="00DE2664" w:rsidRPr="00DE2664">
        <w:rPr>
          <w:spacing w:val="-4"/>
          <w:lang w:val="ru-RU"/>
        </w:rPr>
        <w:t xml:space="preserve">]  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Полный список вспомогательных веществ см. в разделе 6.1.</w:t>
      </w:r>
    </w:p>
    <w:p w:rsidR="00A65B4B" w:rsidRPr="005A6418" w:rsidRDefault="00A65B4B" w:rsidP="005A6418">
      <w:pPr>
        <w:jc w:val="both"/>
        <w:rPr>
          <w:b/>
          <w:smallCaps/>
          <w:spacing w:val="-4"/>
          <w:lang w:val="ru-RU"/>
        </w:rPr>
      </w:pP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3.</w:t>
      </w:r>
      <w:r w:rsidR="005A6418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ЛЕКАРСТВЕННАЯ ФОРМА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Капсулы.</w:t>
      </w:r>
    </w:p>
    <w:p w:rsidR="006977E7" w:rsidRPr="00DE2664" w:rsidRDefault="006977E7" w:rsidP="006977E7">
      <w:pPr>
        <w:jc w:val="both"/>
        <w:rPr>
          <w:lang w:val="ru-RU"/>
        </w:rPr>
      </w:pPr>
      <w:r w:rsidRPr="00DE2664">
        <w:rPr>
          <w:bCs/>
          <w:caps/>
          <w:lang w:val="ru-RU"/>
        </w:rPr>
        <w:t>[</w:t>
      </w:r>
      <w:r w:rsidRPr="00DE2664">
        <w:rPr>
          <w:bCs/>
          <w:caps/>
          <w:highlight w:val="lightGray"/>
          <w:lang w:val="ru-RU"/>
        </w:rPr>
        <w:t>оПИСАНИЕ СОГЛАСНО нд рк</w:t>
      </w:r>
      <w:r w:rsidRPr="00DE2664">
        <w:rPr>
          <w:bCs/>
          <w:caps/>
          <w:lang w:val="ru-RU"/>
        </w:rPr>
        <w:t>]</w:t>
      </w:r>
    </w:p>
    <w:p w:rsidR="00A65B4B" w:rsidRPr="005A6418" w:rsidRDefault="00A65B4B" w:rsidP="005A6418">
      <w:pPr>
        <w:widowControl/>
        <w:jc w:val="both"/>
        <w:rPr>
          <w:b/>
          <w:spacing w:val="-4"/>
          <w:lang w:val="ru-RU"/>
        </w:rPr>
      </w:pPr>
    </w:p>
    <w:p w:rsidR="00A65B4B" w:rsidRPr="005A6418" w:rsidRDefault="000C6871" w:rsidP="005A6418">
      <w:pPr>
        <w:widowControl/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4.</w:t>
      </w:r>
      <w:r w:rsidR="005A6418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КЛИНИЧЕСКИЕ ДАННЫЕ</w:t>
      </w:r>
    </w:p>
    <w:p w:rsidR="00A65B4B" w:rsidRPr="005A6418" w:rsidRDefault="000C6871" w:rsidP="005A6418">
      <w:pPr>
        <w:widowControl/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4.1</w:t>
      </w:r>
      <w:r w:rsidR="005A6418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Показания к применению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Препарат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в комбинации с циклоспорином и кортикостероидами показан для профилактики острого отторжения аллотрансплантата почки, сердца или печени.</w:t>
      </w:r>
    </w:p>
    <w:p w:rsidR="00A65B4B" w:rsidRPr="005A6418" w:rsidRDefault="00A65B4B" w:rsidP="005A6418">
      <w:pPr>
        <w:widowControl/>
        <w:jc w:val="both"/>
        <w:rPr>
          <w:b/>
          <w:spacing w:val="-4"/>
          <w:lang w:val="ru-RU"/>
        </w:rPr>
      </w:pPr>
    </w:p>
    <w:p w:rsidR="00A65B4B" w:rsidRPr="005A6418" w:rsidRDefault="000C6871" w:rsidP="005A6418">
      <w:pPr>
        <w:widowControl/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4.2</w:t>
      </w:r>
      <w:r w:rsidR="005A6418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Режим дозирования и способ применения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Лечение препаратом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следует начинать и проводить под контролем опытного трансплантолога.</w:t>
      </w:r>
    </w:p>
    <w:p w:rsidR="00A65B4B" w:rsidRPr="005A6418" w:rsidRDefault="000C6871" w:rsidP="005A6418">
      <w:pPr>
        <w:widowControl/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Режим дозирования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u w:val="single"/>
          <w:lang w:val="ru-RU"/>
        </w:rPr>
      </w:pPr>
      <w:r w:rsidRPr="005A6418">
        <w:rPr>
          <w:spacing w:val="-4"/>
          <w:u w:val="single"/>
          <w:lang w:val="ru-RU"/>
        </w:rPr>
        <w:t xml:space="preserve">Профилактика отторжения трансплантата почки </w:t>
      </w:r>
    </w:p>
    <w:p w:rsidR="00A65B4B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Пероральный прием препарата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необходимо начать в течение 72 часов после трансплантации. Рекомендованная доза у пациентов с почечным трансплантатом составляет 1 г два раза в сутки (суточная доза 2 г).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u w:val="single"/>
          <w:lang w:val="ru-RU"/>
        </w:rPr>
      </w:pPr>
      <w:r w:rsidRPr="005A6418">
        <w:rPr>
          <w:spacing w:val="-4"/>
          <w:u w:val="single"/>
          <w:lang w:val="ru-RU"/>
        </w:rPr>
        <w:t>Профилактика отторжения трансплантата сердца</w:t>
      </w:r>
    </w:p>
    <w:p w:rsidR="00A65B4B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Пероральный прием препарата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необходимо начать в течение 5 дней после трансплантации. Рекомендованная доза у пациентов с сердечным трансплантатом составляет 1.5 г два раза в сутки (суточная доза 3 г).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u w:val="single"/>
          <w:lang w:val="ru-RU"/>
        </w:rPr>
      </w:pPr>
      <w:r w:rsidRPr="005A6418">
        <w:rPr>
          <w:spacing w:val="-4"/>
          <w:u w:val="single"/>
          <w:lang w:val="ru-RU"/>
        </w:rPr>
        <w:t>Профилактика отторжения трансплантата печени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Внутривенное введение препарата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необходимо начинать в течение первых 4 дней после трансплантации печени и затем перейти на пероральный прием в зависимости от переносимости. Рекомендованная пероральная доза у пациентов с печеночным трансплантатом составляет 1.5 г два раза в сутки (суточная доза 3 г).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Особые группы пациентов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lastRenderedPageBreak/>
        <w:t>Пациенты пожилого возраста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У пациентов пожилого возраста с почечным трансплантатом рекомендованная доза составляет 1 г два раза в сутки, у пациентов с сердечным или печеночным трансплантатами - 1.5 г два раза в сутки.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Пациенты с нарушением функции почек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У пациентов с тяжелой степенью хронической почечной недостаточности (скорость клубочковой фильтрации &lt;25 мл/мин/1.73 м</w:t>
      </w:r>
      <w:r w:rsidRPr="005A6418">
        <w:rPr>
          <w:spacing w:val="-4"/>
          <w:vertAlign w:val="superscript"/>
          <w:lang w:val="ru-RU"/>
        </w:rPr>
        <w:t>2</w:t>
      </w:r>
      <w:r w:rsidRPr="005A6418">
        <w:rPr>
          <w:spacing w:val="-4"/>
          <w:lang w:val="ru-RU"/>
        </w:rPr>
        <w:t>), перенесших пересадку почки, следует избегать применения препарата в дозе, превышающей 1 г два раза в сутки, за исключением периода непосредственно после трансплантации. За данными пациентами также необходимо вести тщательное наблюдение. Коррекция дозы у пациентов с задержкой функции почечного трансплантата в послеоперационный период не требуется (см</w:t>
      </w:r>
      <w:r w:rsidR="005A6418">
        <w:rPr>
          <w:spacing w:val="-4"/>
          <w:lang w:val="ru-RU"/>
        </w:rPr>
        <w:t>.</w:t>
      </w:r>
      <w:r w:rsidRPr="005A6418">
        <w:rPr>
          <w:spacing w:val="-4"/>
          <w:lang w:val="ru-RU"/>
        </w:rPr>
        <w:t xml:space="preserve"> раздел 5.2). Данные о применении препарата у пациентов с тяжелой степенью хронической почечной недостаточности после трансплантации сердца или печени отсутствуют.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 xml:space="preserve">Тяжелая печёночная недостаточность 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Коррекция дозы у пациентов с тяжелым поражением паренхимы печени, перенесших пересадку почки не требуется. Данные о применении препарата у пациентов с тяжелым поражением паренхимы печени после трансплантации сердца отсутствуют.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Терапия в период криза отторжения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Микофеноловая кислота (МФК) является активным метаболитом микофенолата мофетила. Отторжение почечного трансплантата не приводит к изменениям в фармакокинетике МФК; снижение дозы или прерывание терапии препаратом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не требуется. Нет оснований для коррекции дозы препарата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после отторжения сердечного трансплантата. Фармакокинетические данные при отторжении печеночного трансплантата отсутствуют.</w:t>
      </w:r>
    </w:p>
    <w:p w:rsidR="00A65B4B" w:rsidRPr="005A6418" w:rsidRDefault="000C6871" w:rsidP="005A6418">
      <w:pPr>
        <w:widowControl/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Способ применения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Для приема внутрь.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Меры предосторожности при обращении или применении лекарственного препарата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Поскольку микофенолата мофетил продемонстрировал тератогенное действие у крыс и кроликов, не следует открывать или нарушать целостность капсулы препарата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во избежание вдыхания порошка, содержащегося в капсулах, или его прямого контакта с кожей или слизистыми оболочками. В случае контакта необходимо тщательно промыть данный участок водой с мылом; глаза промыть проточной водой. </w:t>
      </w:r>
    </w:p>
    <w:p w:rsidR="00A65B4B" w:rsidRPr="005A6418" w:rsidRDefault="00A65B4B" w:rsidP="005A6418">
      <w:pPr>
        <w:jc w:val="both"/>
        <w:rPr>
          <w:spacing w:val="-4"/>
          <w:lang w:val="ru-RU"/>
        </w:rPr>
      </w:pPr>
    </w:p>
    <w:p w:rsidR="00A65B4B" w:rsidRPr="005A6418" w:rsidRDefault="005A6418" w:rsidP="005A6418">
      <w:pPr>
        <w:jc w:val="both"/>
        <w:rPr>
          <w:b/>
          <w:spacing w:val="-4"/>
        </w:rPr>
      </w:pPr>
      <w:r>
        <w:rPr>
          <w:b/>
          <w:spacing w:val="-4"/>
        </w:rPr>
        <w:t>4.3</w:t>
      </w:r>
      <w:r>
        <w:rPr>
          <w:b/>
          <w:spacing w:val="-4"/>
          <w:lang w:val="ru-RU"/>
        </w:rPr>
        <w:t xml:space="preserve"> </w:t>
      </w:r>
      <w:r w:rsidR="000C6871" w:rsidRPr="005A6418">
        <w:rPr>
          <w:b/>
          <w:spacing w:val="-4"/>
        </w:rPr>
        <w:t>Противопоказания</w:t>
      </w:r>
    </w:p>
    <w:p w:rsidR="00A65B4B" w:rsidRPr="005A6418" w:rsidRDefault="000C6871" w:rsidP="00175B8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pacing w:val="-4"/>
        </w:rPr>
      </w:pPr>
      <w:r w:rsidRPr="005A6418">
        <w:rPr>
          <w:spacing w:val="-4"/>
          <w:lang w:val="ru-RU"/>
        </w:rPr>
        <w:t xml:space="preserve">гиперчувствительность к микофенолата мофетилу, микофеноловой кислоте или любому из вспомогательных веществ, перечисленных в разделе 6.1. </w:t>
      </w:r>
      <w:r w:rsidRPr="005A6418">
        <w:rPr>
          <w:spacing w:val="-4"/>
        </w:rPr>
        <w:t xml:space="preserve">Отмечались реакции гиперчувствительности к препарату </w:t>
      </w:r>
      <w:r w:rsidR="006977E7">
        <w:rPr>
          <w:bCs/>
          <w:caps/>
        </w:rPr>
        <w:t>[</w:t>
      </w:r>
      <w:r w:rsidR="006977E7">
        <w:rPr>
          <w:bCs/>
          <w:caps/>
          <w:highlight w:val="lightGray"/>
        </w:rPr>
        <w:t>ТОРГОВОЕ НАЗВАНИЕ</w:t>
      </w:r>
      <w:r w:rsidR="006977E7">
        <w:rPr>
          <w:bCs/>
          <w:caps/>
        </w:rPr>
        <w:t>]</w:t>
      </w:r>
      <w:r w:rsidR="0069472D">
        <w:rPr>
          <w:spacing w:val="-4"/>
        </w:rPr>
        <w:t xml:space="preserve"> (см. раздел 4.8)</w:t>
      </w:r>
    </w:p>
    <w:p w:rsidR="00A65B4B" w:rsidRPr="005A6418" w:rsidRDefault="000C6871" w:rsidP="00175B8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не следует назначать женщинам с детородным потенциалом, не использующих высокоэффективные методы контрацепции (см. раздел 4.6)</w:t>
      </w:r>
    </w:p>
    <w:p w:rsidR="00A65B4B" w:rsidRPr="005A6418" w:rsidRDefault="000C6871" w:rsidP="00175B8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терапию препаратом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у женщин с детородным потенциалом не следует начинать без наличия результатов тестирования на беременность для исключения непреднамеренного применения препарата в период беременности (см. раздел 4.6)</w:t>
      </w:r>
    </w:p>
    <w:p w:rsidR="00A65B4B" w:rsidRPr="005A6418" w:rsidRDefault="000C6871" w:rsidP="00175B8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не следует применять в период беременности, за исключением случаев отсутствия альтернативной терапии для предотвращения отторжения трансплантата (см. раздел 4.6)</w:t>
      </w:r>
    </w:p>
    <w:p w:rsidR="00A65B4B" w:rsidRDefault="000C6871" w:rsidP="00175B8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не следует назначать кормящим женщинам (см. раздел 4.6)</w:t>
      </w:r>
    </w:p>
    <w:p w:rsidR="00D10A7F" w:rsidRPr="0095766E" w:rsidRDefault="00D10A7F" w:rsidP="00175B8D">
      <w:pPr>
        <w:pStyle w:val="a7"/>
        <w:numPr>
          <w:ilvl w:val="0"/>
          <w:numId w:val="1"/>
        </w:numPr>
        <w:ind w:left="284" w:hanging="284"/>
        <w:jc w:val="both"/>
        <w:rPr>
          <w:spacing w:val="-4"/>
          <w:lang w:val="ru-RU"/>
        </w:rPr>
      </w:pPr>
      <w:r w:rsidRPr="0095766E">
        <w:rPr>
          <w:spacing w:val="-4"/>
          <w:lang w:val="ru-RU"/>
        </w:rPr>
        <w:t>не следует назначать детям и подросткам в возрасте до 18 лет ввиду наличия в составе капсулы красителя (индигокармин Е132) (см. раздел 2)</w:t>
      </w:r>
    </w:p>
    <w:p w:rsidR="00A65B4B" w:rsidRPr="005A6418" w:rsidRDefault="00A65B4B" w:rsidP="005A6418">
      <w:pPr>
        <w:jc w:val="both"/>
        <w:rPr>
          <w:b/>
          <w:spacing w:val="-4"/>
          <w:lang w:val="ru-RU"/>
        </w:rPr>
      </w:pP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4.4</w:t>
      </w:r>
      <w:r w:rsidR="005A6418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Особые указания и меры предосторожности при применении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Новообразования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lastRenderedPageBreak/>
        <w:t xml:space="preserve">Пациенты, получающие комбинированную иммуносупрессивную терапию, включая препарат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, подвержены повышенному риску развития лимфом и других злокачественных новообразований, в частности, новообразований кожи (см. раздел 4.8). Риск, по-видимому, связан с интенсивностью и продолжительностью иммуносупрессии, а не с применением какого-либо конкретного препарата. 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В качестве общих рекомендаций для снижения риска развития рака кожи следует носить одежду, защищающую от воздействия солнечных и ультрафиолетовых лучей, и использовать солнцезащитный крем с высоким значением защитного фактора.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Инфекции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Пациенты, получающие иммуносупрессанты, включая препарат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, подвержены повышенному риску развития оппортунистических инфекций (бактериальные, грибковые, вирусные и протозойные), смертельных инфекций и сепсиса (см. раздел 4.8). Подобные случаи включают реактивацию латентной вирусной инфекции, например, гепатита В или гепатита </w:t>
      </w:r>
      <w:r w:rsidRPr="005A6418">
        <w:rPr>
          <w:spacing w:val="-4"/>
        </w:rPr>
        <w:t>C</w:t>
      </w:r>
      <w:r w:rsidRPr="005A6418">
        <w:rPr>
          <w:spacing w:val="-4"/>
          <w:lang w:val="ru-RU"/>
        </w:rPr>
        <w:t xml:space="preserve"> и инфекций, вызванных полиомавирусами (нефропатия, ассоциированная с </w:t>
      </w:r>
      <w:r w:rsidRPr="005A6418">
        <w:rPr>
          <w:spacing w:val="-4"/>
        </w:rPr>
        <w:t>BK</w:t>
      </w:r>
      <w:r w:rsidRPr="005A6418">
        <w:rPr>
          <w:spacing w:val="-4"/>
          <w:lang w:val="ru-RU"/>
        </w:rPr>
        <w:t xml:space="preserve">-вирусом, прогрессирующая мультифокальная лейкоэнцефалопатия (ПМЛ), ассоциированная с </w:t>
      </w:r>
      <w:r w:rsidRPr="005A6418">
        <w:rPr>
          <w:spacing w:val="-4"/>
        </w:rPr>
        <w:t>JC</w:t>
      </w:r>
      <w:r w:rsidRPr="005A6418">
        <w:rPr>
          <w:spacing w:val="-4"/>
          <w:lang w:val="ru-RU"/>
        </w:rPr>
        <w:t xml:space="preserve">-вирусом). Сообщалось о случаях развития гепатита вследствие реактивации вирусов гепатита В или гепатита </w:t>
      </w:r>
      <w:r w:rsidRPr="005A6418">
        <w:rPr>
          <w:spacing w:val="-4"/>
        </w:rPr>
        <w:t>C</w:t>
      </w:r>
      <w:r w:rsidRPr="005A6418">
        <w:rPr>
          <w:spacing w:val="-4"/>
          <w:lang w:val="ru-RU"/>
        </w:rPr>
        <w:t xml:space="preserve"> у пациентов-носителей, получавших иммуносупрессивную терапию. Данные инфекции часто связаны с высокой общей иммуносупрессивной нагрузкой и могут приводить к серьезным состояниям или смертельному исходу, что следует принимать во внимание при проведении дифференциальной диагностики пациентов с иммуносупрессией и ухудшающейся функцией почек или неврологическими симптомами. Микофеноловая кислота оказывает цитостатическое действие на В- и Т-лимфоциты, вследствие чего может развиться тяжелое течение коронавирусной инфекции (</w:t>
      </w:r>
      <w:r w:rsidRPr="005A6418">
        <w:rPr>
          <w:spacing w:val="-4"/>
        </w:rPr>
        <w:t>COVID</w:t>
      </w:r>
      <w:r w:rsidRPr="005A6418">
        <w:rPr>
          <w:spacing w:val="-4"/>
          <w:lang w:val="ru-RU"/>
        </w:rPr>
        <w:t xml:space="preserve">-19). У пациентов с выраженными клиническими проявлениями инфекции </w:t>
      </w:r>
      <w:r w:rsidRPr="005A6418">
        <w:rPr>
          <w:spacing w:val="-4"/>
        </w:rPr>
        <w:t>COVID</w:t>
      </w:r>
      <w:r w:rsidRPr="005A6418">
        <w:rPr>
          <w:spacing w:val="-4"/>
          <w:lang w:val="ru-RU"/>
        </w:rPr>
        <w:t xml:space="preserve">-19 следует рассмотреть вопрос об уменьшении дозы или прекращении приема препарата </w:t>
      </w:r>
      <w:r w:rsidR="00466A1B" w:rsidRPr="006977E7">
        <w:rPr>
          <w:bCs/>
          <w:caps/>
          <w:lang w:val="ru-RU"/>
        </w:rPr>
        <w:t>[</w:t>
      </w:r>
      <w:r w:rsidR="00466A1B" w:rsidRPr="006977E7">
        <w:rPr>
          <w:bCs/>
          <w:caps/>
          <w:highlight w:val="lightGray"/>
          <w:lang w:val="ru-RU"/>
        </w:rPr>
        <w:t>ТОРГОВОЕ НАЗВАНИЕ</w:t>
      </w:r>
      <w:r w:rsidR="00466A1B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>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При применении </w:t>
      </w:r>
      <w:r w:rsidR="00E96A30">
        <w:rPr>
          <w:spacing w:val="-4"/>
          <w:lang w:val="ru-RU"/>
        </w:rPr>
        <w:t>микофенолата мофетил</w:t>
      </w:r>
      <w:r w:rsidRPr="005A6418">
        <w:rPr>
          <w:spacing w:val="-4"/>
          <w:lang w:val="ru-RU"/>
        </w:rPr>
        <w:t xml:space="preserve"> в комбинации с другими иммуносупрессантами зарегистрированы случаи развития гипогаммаглобулинемии, ассоциированные с рецидивирующими инфекциями. В некоторых из этих случаев переход с приема препарата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на прием альтернативного иммуносупрессанта приводил к нормализации уровней </w:t>
      </w:r>
      <w:r w:rsidRPr="005A6418">
        <w:rPr>
          <w:spacing w:val="-4"/>
        </w:rPr>
        <w:t>IgG</w:t>
      </w:r>
      <w:r w:rsidRPr="005A6418">
        <w:rPr>
          <w:spacing w:val="-4"/>
          <w:lang w:val="ru-RU"/>
        </w:rPr>
        <w:t xml:space="preserve"> в сыворотке крови. У пациентов с рецидивирующими инфекциями на фоне приема препарата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следует контролировать уровень иммуноглобулинов в сыворотке крови. В случаях стойкой клинически значимой гипогаммаглобулинемии следует рассмотреть возможность принятия соответствующих клинических мер с учетом мощного цитостатического действия, оказываемого микофеноловой кислотой на Т- и В-лимфоциты.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Были опубликованы сообщения о развитии бронхоэктазов у взрослых и детей, получавших </w:t>
      </w:r>
      <w:r w:rsidR="00E96A30" w:rsidRPr="00E96A30">
        <w:rPr>
          <w:spacing w:val="-4"/>
          <w:lang w:val="ru-RU"/>
        </w:rPr>
        <w:t xml:space="preserve">микофенолата мофетил </w:t>
      </w:r>
      <w:r w:rsidRPr="005A6418">
        <w:rPr>
          <w:spacing w:val="-4"/>
          <w:lang w:val="ru-RU"/>
        </w:rPr>
        <w:t xml:space="preserve">в комбинации с другими иммуносупрессантами. В некоторых из этих случаев переход с приема </w:t>
      </w:r>
      <w:r w:rsidR="00E96A30" w:rsidRPr="00E96A30">
        <w:rPr>
          <w:spacing w:val="-4"/>
          <w:lang w:val="ru-RU"/>
        </w:rPr>
        <w:t xml:space="preserve">микофенолата мофетил </w:t>
      </w:r>
      <w:r w:rsidRPr="005A6418">
        <w:rPr>
          <w:spacing w:val="-4"/>
          <w:lang w:val="ru-RU"/>
        </w:rPr>
        <w:t xml:space="preserve">на прием другого иммуносупрессанта привел к облегчению респираторных симптомов. Риск развития бронхоэктазов может быть связан с гипогаммаглобулинемией или прямым действием на легкие. Также имеются отдельные сообщения об интерстициальном заболевании легких и легочном фиброзе, в некоторых случаях со смертельным исходом (см. раздел 4.8). При развитии стойких легочных симптомов, таких как кашель и одышка, рекомендуется обследование пациентов. 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Система кроветворения и иммунная система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Пациенты, получающие препарат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, должны находиться под наблюдением на предмет развития нейтропении, которая может быть связана с приемом препарата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, сопутствующих препаратов, с вирусными инфекциями или комбинацией данных причин. Во время терапии препаратом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развернутый анализ крови у пациентов необходимо проводить </w:t>
      </w:r>
      <w:r w:rsidRPr="005A6418">
        <w:rPr>
          <w:spacing w:val="-4"/>
          <w:lang w:val="ru-RU"/>
        </w:rPr>
        <w:lastRenderedPageBreak/>
        <w:t>еженедельно в течение первого месяца, дважды в месяц в течение второго и третьего месяцев лечения, а затем ежемесячно в течение первого года. При развитии нейтропении (абсолютное число нейтрофилов &lt;1.3×10</w:t>
      </w:r>
      <w:r w:rsidRPr="005A6418">
        <w:rPr>
          <w:spacing w:val="-4"/>
          <w:vertAlign w:val="superscript"/>
          <w:lang w:val="ru-RU"/>
        </w:rPr>
        <w:t>3</w:t>
      </w:r>
      <w:r w:rsidRPr="005A6418">
        <w:rPr>
          <w:spacing w:val="-4"/>
          <w:lang w:val="ru-RU"/>
        </w:rPr>
        <w:t xml:space="preserve">/мкл) может быть целесообразным прерывание или прекращение терапии препаратом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>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Сообщалось о случаях развития парциальной красноклеточной аплазии (ПККА) у пациентов, получавших </w:t>
      </w:r>
      <w:r w:rsidR="00E96A30" w:rsidRPr="00E96A30">
        <w:rPr>
          <w:spacing w:val="-4"/>
          <w:lang w:val="ru-RU"/>
        </w:rPr>
        <w:t xml:space="preserve">микофенолата мофетил </w:t>
      </w:r>
      <w:r w:rsidRPr="005A6418">
        <w:rPr>
          <w:spacing w:val="-4"/>
          <w:lang w:val="ru-RU"/>
        </w:rPr>
        <w:t xml:space="preserve">в комбинации с другими иммуносупрессантами. Механизм развития ПККА при применении микофенолата мофетила неизвестен. ПККА может быть обратимой после снижения дозы препарата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или после отмены терапии. Изменения в терапии препаратом </w:t>
      </w:r>
      <w:r w:rsidR="00466A1B" w:rsidRPr="006977E7">
        <w:rPr>
          <w:bCs/>
          <w:caps/>
          <w:lang w:val="ru-RU"/>
        </w:rPr>
        <w:t>[</w:t>
      </w:r>
      <w:r w:rsidR="00466A1B" w:rsidRPr="006977E7">
        <w:rPr>
          <w:bCs/>
          <w:caps/>
          <w:highlight w:val="lightGray"/>
          <w:lang w:val="ru-RU"/>
        </w:rPr>
        <w:t>ТОРГОВОЕ НАЗВАНИЕ</w:t>
      </w:r>
      <w:r w:rsidR="00466A1B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у реципиентов необходимо проводить только под тщательным наблюдением с целью снижения риска отторжения (см</w:t>
      </w:r>
      <w:r w:rsidR="005A6418">
        <w:rPr>
          <w:spacing w:val="-4"/>
          <w:lang w:val="ru-RU"/>
        </w:rPr>
        <w:t>.</w:t>
      </w:r>
      <w:r w:rsidRPr="005A6418">
        <w:rPr>
          <w:spacing w:val="-4"/>
          <w:lang w:val="ru-RU"/>
        </w:rPr>
        <w:t xml:space="preserve"> раздел 4.8).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Пациенты, получающие препарат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>, должны быть проинформированы о необходимости немедленно сообщать</w:t>
      </w:r>
      <w:r w:rsidR="005A6418">
        <w:rPr>
          <w:spacing w:val="-4"/>
          <w:lang w:val="ru-RU"/>
        </w:rPr>
        <w:t>,</w:t>
      </w:r>
      <w:r w:rsidRPr="005A6418">
        <w:rPr>
          <w:spacing w:val="-4"/>
          <w:lang w:val="ru-RU"/>
        </w:rPr>
        <w:t xml:space="preserve"> о любых признаках инфекции, неожиданного возникновения гематом, кровотечений или любых других признаках недостаточности костного мозга.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Пациентов следует информировать о том, что во время лечения препаратом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вакцинация может быть менее эффективной; необходимо избегать применения живых ослабленных вакцин (см. раздел 4.5). Разрешается проводить противогриппозную вакцинацию. При назначении противогриппозных вакцин следует руководствоваться Национальным календарем профилактических прививок.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Желудочно-кишечный тракт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Прием </w:t>
      </w:r>
      <w:r w:rsidR="00E96A30" w:rsidRPr="00E96A30">
        <w:rPr>
          <w:spacing w:val="-4"/>
          <w:lang w:val="ru-RU"/>
        </w:rPr>
        <w:t>микофенолата мофетил</w:t>
      </w:r>
      <w:r w:rsidRPr="005A6418">
        <w:rPr>
          <w:spacing w:val="-4"/>
          <w:lang w:val="ru-RU"/>
        </w:rPr>
        <w:t xml:space="preserve"> ассоциировался с повышенной частотой развития нежелательных реакций со стороны пищеварительной системы, включая редкие случаи язвенной болезни, кровотечения и перфорации ЖКТ. Следует соблюдать осторожность при назначении препарата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у пациентов с серьезными заболеваниями желудочно-кишечного тракта в стадии обострения.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Препарат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является ингибитором ИМФДГ (инозин монофосфат дегидрогеназа). Поэтому следует избегать применения препарата у пациентов с редким генетически обусловленным наследственным дефицитом гипоксантин-гуанин фосфорибозилтрансферазы, например, синдромом Леша-Найена и синдромом Келли-Зигмиллера.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Взаимодействия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Следует соблюдать осторожность при переходе с комбинированной терапии, включающей иммуносупрессанты, которые препятствуют печёночной рециркуляции МФК (например, циклоспорин) на терапию другими препаратами, не обладающими таким эффектом (например, такролимус, сиролимус, белатасепт) или наоборот, так как это может привести к изменению экспозиции МФК. Лекарственные препараты, которые препятствуют энтерогепатической рециркуляции МФК (например, холестирамин, антибиотики), следует использовать с осторожностью в связи с их способностью снижать плазменные концентрации и эффективность препарата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(см. также раздел 4.5). При переходе с приема одного препарата комбинированной терапии на другой (например, с циклоспорина на такролимус или наоборот) для обеспечения адекватного уровня иммуносупрессии у пациентов с высоким иммунологическим риском (например, риск отторжения трансплантата, антибиотикотерапия, добавление или отмена препарата, влияющего на фармакокинетику МФК) целесообразен терапевтический лекарственный мониторинг МФК.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Препарат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не рекомендуется применять одновременно с азатиоприном, поскольку исследований их взаимодействия не проводилось.</w:t>
      </w:r>
    </w:p>
    <w:p w:rsidR="00A65B4B" w:rsidRPr="005A6418" w:rsidRDefault="00FD5DB7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>
        <w:rPr>
          <w:spacing w:val="-4"/>
          <w:lang w:val="ru-RU"/>
        </w:rPr>
        <w:t>Соо</w:t>
      </w:r>
      <w:r w:rsidR="000C6871" w:rsidRPr="005A6418">
        <w:rPr>
          <w:spacing w:val="-4"/>
          <w:lang w:val="ru-RU"/>
        </w:rPr>
        <w:t xml:space="preserve">тношение </w:t>
      </w:r>
      <w:r>
        <w:rPr>
          <w:spacing w:val="-4"/>
          <w:lang w:val="ru-RU"/>
        </w:rPr>
        <w:t xml:space="preserve">польза/риск </w:t>
      </w:r>
      <w:r w:rsidR="000C6871" w:rsidRPr="005A6418">
        <w:rPr>
          <w:spacing w:val="-4"/>
          <w:lang w:val="ru-RU"/>
        </w:rPr>
        <w:t>микофенолата мофетила в комбинации с сиролимусом не установлено (см. также раздел 4.5).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Особые группы пациентов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lastRenderedPageBreak/>
        <w:t>Пациенты пожилого возраста по сравнению с пациентами более молодого возраста могут быть подвержены повышенному риску развития нежелательных реакций, таких как некоторые инфекции (включая тканевую инвазивную форму манифестной цитомегаловирусной инфекции) и, возможно, кровотечения из ЖКТ и отек легких (см. раздел 4.8).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F31198">
        <w:rPr>
          <w:i/>
          <w:spacing w:val="-4"/>
          <w:lang w:val="ru-RU"/>
        </w:rPr>
        <w:t>Тератогенный эффект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Микофенолат является мощным тератогеном для человека. Сообщалось о случаях самопроизвольных абортов (с частотой от 45% до 49%) и врожденных пороков развития (расчетная частота от 23% до 27%) при воздействии микофенолата мофетила во время беременности. Поэтому применение препарата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в период беременности противопоказано, за исключением случаев отсутствия альтернативных методов лечения для предотвращения отторжения трансплантата. Пациентки с детородным потенциалом должны быть осведомлены о рисках и следовать рекомендациям, представленным в разделе 4.6 (например, методы контрацепции, тестирование на наличие беременности) до, во время и после терапии препаратом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>. Необходимо убедиться, что пациентки, принимающие микофенолат, понимают риск возможного причинения вреда ребенку, необходимость в эффективной контрацепции, а также необходимость немедленного обращения к врачу, в случае подозрения на наличие беременности.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Контрацепция (см. раздел 4.6)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bookmarkStart w:id="1" w:name="_heading=h.gjdgxs" w:colFirst="0" w:colLast="0"/>
      <w:bookmarkEnd w:id="1"/>
      <w:r w:rsidRPr="005A6418">
        <w:rPr>
          <w:spacing w:val="-4"/>
          <w:lang w:val="ru-RU"/>
        </w:rPr>
        <w:t xml:space="preserve">В связи с наличием убедительных клинических данных, свидетельствующих о высоком риске самопроизвольных абортов и врожденных пороков развития при применении микофенолата мофетила в период беременности, следует предпринимать все возможные меры для предотвращения беременности во время лечения. Следовательно, женщины с детородным потенциалом должны использовать как минимум один способ надежной контрацепции (см. раздел 4.3) до начала терапии препаратом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>, во время лечения и в течение шести недель после окончания терапии, за исключением случаев, когда избранным методом контрацепции является воздержание от половой жизни. С целью снижения риска неэффективности контрацепции и нежелательной беременности предпочтительно использовать два дополняющих друг друга способа контрацепции одновременно.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Рекомендации о контрацепции для мужчин см. в разделе 4.6.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Информационные материалы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Для предотвращения воздействия микофенолата на плод и предоставления дополнительной важной информации по безопасности в помощь пациентам, Держатель регистрационного удостоверения предоставляет информационные материалы. Информационные материалы содержат предупреждение о тератогенности микофенолата, рекомендации об использовании контрацепции до начала терапии и рекомендации о необходимости проведения тестирования на беременность. Женщинам с детородным потенциалом и, при необходимости, пациентам мужского пола следует предоставлять полную информацию о тератогенном риске и мерах по предотвращению беременности. 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Дополнительные меры предосторожности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Пациентам не следует быть донором крови во время терапии или, как минимум, в течение 6 недель после прекращения приема микофенолата. Мужчинам запрещается быть донором спермы во время терапии или в течение 90 дней после прекращения приема микофенолата.</w:t>
      </w:r>
    </w:p>
    <w:p w:rsidR="00A65B4B" w:rsidRPr="005A6418" w:rsidRDefault="00A65B4B" w:rsidP="005A6418">
      <w:pPr>
        <w:widowControl/>
        <w:jc w:val="both"/>
        <w:rPr>
          <w:spacing w:val="-4"/>
          <w:lang w:val="ru-RU"/>
        </w:rPr>
      </w:pP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4.5</w:t>
      </w:r>
      <w:r w:rsidR="005A6418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Взаимодействия с другими лекарственными препаратами и другие виды взаимодействия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Ацикловир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При совместном применении микофенолата мофетила и ацикловира наблюдались более высокие концентрации ацикловира в плазме крови, чем при применении только ацикловира. Изменения фармакокинетических показателей МФКГ (фенольный </w:t>
      </w:r>
      <w:r w:rsidRPr="005A6418">
        <w:rPr>
          <w:spacing w:val="-4"/>
          <w:lang w:val="ru-RU"/>
        </w:rPr>
        <w:lastRenderedPageBreak/>
        <w:t>глюкуронид МФК) были минимальными (повышение концентрации МФКГ на 8%) и не считаются клинически значимыми. Поскольку плазменные концентрации МФКГ, как и ацикловира, повышаются при наличии нарушений функции почек, есть вероятность, что микофенолата мофетил и ацикловир, или его пролекарства, например, валацикловир, конкурируют в отношении канальцевой секреции, что может приводить к дальнейшему повышению концентрации обоих лекарственных средств.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Антациды и ингибиторы протонного насоса (ИПН)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При совместном применении </w:t>
      </w:r>
      <w:r w:rsidR="00A05343" w:rsidRPr="005A6418">
        <w:rPr>
          <w:spacing w:val="-4"/>
          <w:lang w:val="ru-RU"/>
        </w:rPr>
        <w:t xml:space="preserve">микофенолата мофетила </w:t>
      </w:r>
      <w:r w:rsidRPr="005A6418">
        <w:rPr>
          <w:spacing w:val="-4"/>
        </w:rPr>
        <w:t>c</w:t>
      </w:r>
      <w:r w:rsidRPr="005A6418">
        <w:rPr>
          <w:spacing w:val="-4"/>
          <w:lang w:val="ru-RU"/>
        </w:rPr>
        <w:t xml:space="preserve"> антацидами, такими как магния и алюминия гидроксид, а также с ингибиторами протонного насоса, включая лансопразол и пантопразол наблюдалось снижение экспозиции МФК. При сравнении частоты отторжения или частоты потери трансплантата у пациентов, получающих </w:t>
      </w:r>
      <w:r w:rsidR="00A05343" w:rsidRPr="005A6418">
        <w:rPr>
          <w:spacing w:val="-4"/>
          <w:lang w:val="ru-RU"/>
        </w:rPr>
        <w:t xml:space="preserve">микофенолата мофетила </w:t>
      </w:r>
      <w:r w:rsidRPr="005A6418">
        <w:rPr>
          <w:spacing w:val="-4"/>
          <w:lang w:val="ru-RU"/>
        </w:rPr>
        <w:t xml:space="preserve">и получающих </w:t>
      </w:r>
      <w:r w:rsidR="00A05343" w:rsidRPr="005A6418">
        <w:rPr>
          <w:spacing w:val="-4"/>
          <w:lang w:val="ru-RU"/>
        </w:rPr>
        <w:t xml:space="preserve">микофенолата мофетила </w:t>
      </w:r>
      <w:r w:rsidRPr="005A6418">
        <w:rPr>
          <w:spacing w:val="-4"/>
          <w:lang w:val="ru-RU"/>
        </w:rPr>
        <w:t xml:space="preserve">совместно с ИПН, существенных различий не наблюдалось. Указанные данные применимы ко всем антацидам, поскольку концентрации препарата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при совместном применении с магнием и алюминия гидроксидом снижаются в значительно меньшей степени, чем при совместном применении препарата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с ИПН.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 xml:space="preserve">Лекарственные препараты, препятствующие энтерогепатической рециркуляции (например, холестирамин, циклоспорин А, антибиотики) 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Необходимо соблюдать осторожность при применении лекарственных препаратов, препятствующих энтерогепатической рециркуляции ввиду потенциального снижения эффективности препарата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>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Холестирамин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После применения однократной дозы микофенолата мофетила 1.5 г у здоровых добровольцев, предварительно принимавших по 4 г холестирамина 3 раза в сутки на протяжении 4 дней, наблюдалось уменьшение </w:t>
      </w:r>
      <w:r w:rsidRPr="005A6418">
        <w:rPr>
          <w:spacing w:val="-4"/>
        </w:rPr>
        <w:t>AUC</w:t>
      </w:r>
      <w:r w:rsidRPr="005A6418">
        <w:rPr>
          <w:spacing w:val="-4"/>
          <w:lang w:val="ru-RU"/>
        </w:rPr>
        <w:t xml:space="preserve"> МФК на 40% (см. разделы 4.4 и 5.2). Необходимо соблюдать осторожность при одновременном применении ввиду потенциального снижения эффективности препарата </w:t>
      </w:r>
      <w:r w:rsidR="006977E7" w:rsidRPr="006977E7">
        <w:rPr>
          <w:bCs/>
          <w:caps/>
          <w:lang w:val="ru-RU"/>
        </w:rPr>
        <w:t>[</w:t>
      </w:r>
      <w:r w:rsidR="006977E7" w:rsidRPr="006977E7">
        <w:rPr>
          <w:bCs/>
          <w:caps/>
          <w:highlight w:val="lightGray"/>
          <w:lang w:val="ru-RU"/>
        </w:rPr>
        <w:t>ТОРГОВОЕ НАЗВАНИЕ</w:t>
      </w:r>
      <w:r w:rsidR="006977E7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>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Циклоспорин А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Циклоспорин А (ЦсА) не влияет на фармакокинетику микофенолата мофетила. 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Однако, при прекращении сопутствующего применения ЦсА следует ожидать увеличения </w:t>
      </w:r>
      <w:r w:rsidRPr="005A6418">
        <w:rPr>
          <w:spacing w:val="-4"/>
        </w:rPr>
        <w:t>AUC</w:t>
      </w:r>
      <w:r w:rsidRPr="005A6418">
        <w:rPr>
          <w:spacing w:val="-4"/>
          <w:lang w:val="ru-RU"/>
        </w:rPr>
        <w:t xml:space="preserve"> МФК примерно на 30%. ЦсА препятствует энтерогепатической рециркуляции </w:t>
      </w:r>
      <w:r w:rsidRPr="005A6418">
        <w:rPr>
          <w:spacing w:val="-4"/>
        </w:rPr>
        <w:t>M</w:t>
      </w:r>
      <w:r w:rsidRPr="005A6418">
        <w:rPr>
          <w:spacing w:val="-4"/>
          <w:lang w:val="ru-RU"/>
        </w:rPr>
        <w:t xml:space="preserve">ФК, что приводит к снижению экспозиции </w:t>
      </w:r>
      <w:r w:rsidRPr="005A6418">
        <w:rPr>
          <w:spacing w:val="-4"/>
        </w:rPr>
        <w:t>M</w:t>
      </w:r>
      <w:r w:rsidRPr="005A6418">
        <w:rPr>
          <w:spacing w:val="-4"/>
          <w:lang w:val="ru-RU"/>
        </w:rPr>
        <w:t xml:space="preserve">ФК на 30-50% у пациентов после трансплантации почки, получающих </w:t>
      </w:r>
      <w:r w:rsidR="00A05343" w:rsidRPr="005A6418">
        <w:rPr>
          <w:spacing w:val="-4"/>
          <w:lang w:val="ru-RU"/>
        </w:rPr>
        <w:t xml:space="preserve">микофенолата мофетила </w:t>
      </w:r>
      <w:r w:rsidRPr="005A6418">
        <w:rPr>
          <w:spacing w:val="-4"/>
          <w:lang w:val="ru-RU"/>
        </w:rPr>
        <w:t xml:space="preserve">и ЦсА, по сравнению с пациентами, получающими сиролимус или белатасепт с аналогичными дозами </w:t>
      </w:r>
      <w:r w:rsidR="00A05343" w:rsidRPr="005A6418">
        <w:rPr>
          <w:spacing w:val="-4"/>
          <w:lang w:val="ru-RU"/>
        </w:rPr>
        <w:t>микофенолата мофетила</w:t>
      </w:r>
      <w:r w:rsidRPr="005A6418">
        <w:rPr>
          <w:spacing w:val="-4"/>
          <w:lang w:val="ru-RU"/>
        </w:rPr>
        <w:t xml:space="preserve"> (см. также раздел 4.4). И наоборот, при переходе пациентов с ЦсА на прием одного из иммуносупрессантов, который не препятствует энтерогепатической рециркуляции МФК, следует ожидать изменения экспозиции </w:t>
      </w:r>
      <w:r w:rsidRPr="005A6418">
        <w:rPr>
          <w:spacing w:val="-4"/>
        </w:rPr>
        <w:t>M</w:t>
      </w:r>
      <w:r w:rsidRPr="005A6418">
        <w:rPr>
          <w:spacing w:val="-4"/>
          <w:lang w:val="ru-RU"/>
        </w:rPr>
        <w:t>ФК.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Антибиотики, приводящие к гибели бактерий, продуцирующих </w:t>
      </w:r>
      <w:r w:rsidRPr="005A6418">
        <w:rPr>
          <w:spacing w:val="-4"/>
        </w:rPr>
        <w:t>β</w:t>
      </w:r>
      <w:r w:rsidRPr="005A6418">
        <w:rPr>
          <w:spacing w:val="-4"/>
          <w:lang w:val="ru-RU"/>
        </w:rPr>
        <w:t>-глюкуронидазу в кишечнике (например, антибиотики из группы аминогликозидов, цефалоспоринов, фторхинолонов и пенициллинов), могут препятствовать энтерогепатической рециркуляции МФКГ/МФК, что приводит к снижению системной экспозиции МФК. Доступна информация о следующих антибиотиках: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 xml:space="preserve">Ципрофлоксацин или амоксициллин в комбинации с клавулановой кислотой 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Сообщалось о снижении остаточной концентрации МФК приблизительно на 50% у реципиентов почечного трансплантата в дни непосредственно после перорального приема ципрофлоксацина или амоксициллина в комбинации с клавулановой кислотой. При продолжении антибактериальной терапии данный эффект снижается и исчезает в течение нескольких дней после прекращения приема антибиотиков. Изменение остаточной концентрации может неадекватно отражать изменение суммарной экспозиции МФК. Таким образом, при отсутствии клинических признаков дисфункции трансплантата изменение дозы препарата </w:t>
      </w:r>
      <w:r w:rsidR="002E76D5" w:rsidRPr="002E76D5">
        <w:rPr>
          <w:bCs/>
          <w:caps/>
          <w:lang w:val="ru-RU"/>
        </w:rPr>
        <w:t>[</w:t>
      </w:r>
      <w:r w:rsidR="002E76D5" w:rsidRPr="002E76D5">
        <w:rPr>
          <w:bCs/>
          <w:caps/>
          <w:highlight w:val="lightGray"/>
          <w:lang w:val="ru-RU"/>
        </w:rPr>
        <w:t>ТОРГОВОЕ НАЗВАНИЕ</w:t>
      </w:r>
      <w:r w:rsidR="002E76D5" w:rsidRPr="002E76D5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, как правило, не требуется. Однако, в ходе комбинированного лечения и непосредственно после терапии антибиотиками </w:t>
      </w:r>
      <w:r w:rsidRPr="005A6418">
        <w:rPr>
          <w:spacing w:val="-4"/>
          <w:lang w:val="ru-RU"/>
        </w:rPr>
        <w:lastRenderedPageBreak/>
        <w:t>следует обеспечить тщательный клинический мониторинг.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Норфлоксацин и метронидазол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У здоровых добровольцев значимого взаимодействия при совместном применении </w:t>
      </w:r>
      <w:r w:rsidR="00A05343" w:rsidRPr="005A6418">
        <w:rPr>
          <w:spacing w:val="-4"/>
          <w:lang w:val="ru-RU"/>
        </w:rPr>
        <w:t xml:space="preserve">микофенолата мофетила </w:t>
      </w:r>
      <w:r w:rsidRPr="005A6418">
        <w:rPr>
          <w:spacing w:val="-4"/>
          <w:lang w:val="ru-RU"/>
        </w:rPr>
        <w:t xml:space="preserve">с норфлоксацином или с метронидазолом не наблюдалось. Тем не менее, комбинация норфлоксацина и метронидазола снижает уровень экспозиции МФК примерно на 30% после однократного приема </w:t>
      </w:r>
      <w:r w:rsidR="00A05343" w:rsidRPr="005A6418">
        <w:rPr>
          <w:spacing w:val="-4"/>
          <w:lang w:val="ru-RU"/>
        </w:rPr>
        <w:t>микофенолата мофетила</w:t>
      </w:r>
      <w:r w:rsidRPr="005A6418">
        <w:rPr>
          <w:spacing w:val="-4"/>
          <w:lang w:val="ru-RU"/>
        </w:rPr>
        <w:t>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Триметоприм/сульфаметоксазол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Влияния на биодоступность МФК не наблюдалось.</w:t>
      </w:r>
    </w:p>
    <w:p w:rsidR="00A65B4B" w:rsidRPr="005A6418" w:rsidRDefault="000C6871" w:rsidP="005A6418">
      <w:pP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Лекарственные препараты, оказывающие влияние на глюкуронирование (например, изавуконазол, телмисартан)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Совместное применение с препаратами, влияющими на глюкуронирование МФК, может изменять экспозицию МФК.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Необходимо соблюдать осторожность при одновременном применении подобных препаратов с препаратом </w:t>
      </w:r>
      <w:r w:rsidR="002E76D5" w:rsidRPr="002E76D5">
        <w:rPr>
          <w:bCs/>
          <w:caps/>
          <w:lang w:val="ru-RU"/>
        </w:rPr>
        <w:t>[</w:t>
      </w:r>
      <w:r w:rsidR="002E76D5" w:rsidRPr="002E76D5">
        <w:rPr>
          <w:bCs/>
          <w:caps/>
          <w:highlight w:val="lightGray"/>
          <w:lang w:val="ru-RU"/>
        </w:rPr>
        <w:t>ТОРГОВОЕ НАЗВАНИЕ</w:t>
      </w:r>
      <w:r w:rsidR="002E76D5" w:rsidRPr="002E76D5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>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 xml:space="preserve">Изавуконазол 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При одновременном применении с изавуконазолом отмечалось увеличение </w:t>
      </w:r>
      <w:r w:rsidRPr="005A6418">
        <w:rPr>
          <w:spacing w:val="-4"/>
        </w:rPr>
        <w:t>AUC</w:t>
      </w:r>
      <w:r w:rsidRPr="005A6418">
        <w:rPr>
          <w:rFonts w:eastAsia="Gungsuh"/>
          <w:spacing w:val="-4"/>
          <w:vertAlign w:val="subscript"/>
          <w:lang w:val="ru-RU"/>
        </w:rPr>
        <w:t>0-∞</w:t>
      </w:r>
      <w:r w:rsidRPr="005A6418">
        <w:rPr>
          <w:spacing w:val="-4"/>
          <w:lang w:val="ru-RU"/>
        </w:rPr>
        <w:t xml:space="preserve"> МФК на 35%.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Телмисартан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Одновременное применение телмисартана и </w:t>
      </w:r>
      <w:r w:rsidR="00924F12" w:rsidRPr="005A6418">
        <w:rPr>
          <w:spacing w:val="-4"/>
          <w:lang w:val="ru-RU"/>
        </w:rPr>
        <w:t xml:space="preserve">микофенолата мофетила </w:t>
      </w:r>
      <w:r w:rsidRPr="005A6418">
        <w:rPr>
          <w:spacing w:val="-4"/>
          <w:lang w:val="ru-RU"/>
        </w:rPr>
        <w:t>привело к снижению концентрации МФК приблизительно на 30%. Телмисартан изменяет элиминацию МФК путем усиления экспрессии гамма-рецепторов, активируемых пероксисомными пролифераторами (</w:t>
      </w:r>
      <w:r w:rsidRPr="005A6418">
        <w:rPr>
          <w:spacing w:val="-4"/>
        </w:rPr>
        <w:t>PPAR</w:t>
      </w:r>
      <w:r w:rsidRPr="005A6418">
        <w:rPr>
          <w:spacing w:val="-4"/>
          <w:lang w:val="ru-RU"/>
        </w:rPr>
        <w:t xml:space="preserve">), что, в свою очередь, приводит к усилению экспрессии и активности гена </w:t>
      </w:r>
      <w:r w:rsidRPr="005A6418">
        <w:rPr>
          <w:spacing w:val="-4"/>
        </w:rPr>
        <w:t>UGT</w:t>
      </w:r>
      <w:r w:rsidRPr="005A6418">
        <w:rPr>
          <w:spacing w:val="-4"/>
          <w:lang w:val="ru-RU"/>
        </w:rPr>
        <w:t>1</w:t>
      </w:r>
      <w:r w:rsidRPr="005A6418">
        <w:rPr>
          <w:spacing w:val="-4"/>
        </w:rPr>
        <w:t>A</w:t>
      </w:r>
      <w:r w:rsidRPr="005A6418">
        <w:rPr>
          <w:spacing w:val="-4"/>
          <w:lang w:val="ru-RU"/>
        </w:rPr>
        <w:t xml:space="preserve">9. При сравнении частоты случаев отторжения трансплантата, потери трансплантата или профилей безопасности (нежелательных реакций) у пациентов, получающих </w:t>
      </w:r>
      <w:r w:rsidR="00A05343" w:rsidRPr="005A6418">
        <w:rPr>
          <w:spacing w:val="-4"/>
          <w:lang w:val="ru-RU"/>
        </w:rPr>
        <w:t>микофенолата мофетила</w:t>
      </w:r>
      <w:r w:rsidRPr="005A6418">
        <w:rPr>
          <w:spacing w:val="-4"/>
          <w:lang w:val="ru-RU"/>
        </w:rPr>
        <w:t xml:space="preserve"> с или без сопутствующей терапии телмисартаном, клинических последствий в результате фармакокинетического лекарственного взаимодействия выявлено не было.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Ганцикловир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По результатам исследования с однократным пероральным приемом рекомендованных доз микофенолата и внутривенным введением ганцикловира с учетом известного влияния почечной недостаточности на фармакокинетику </w:t>
      </w:r>
      <w:r w:rsidR="00924F12" w:rsidRPr="005A6418">
        <w:rPr>
          <w:spacing w:val="-4"/>
          <w:lang w:val="ru-RU"/>
        </w:rPr>
        <w:t xml:space="preserve">микофенолата мофетила </w:t>
      </w:r>
      <w:r w:rsidRPr="005A6418">
        <w:rPr>
          <w:spacing w:val="-4"/>
          <w:lang w:val="ru-RU"/>
        </w:rPr>
        <w:t xml:space="preserve">(см. раздел 4.2) и ганцикловира можно предположить, что совместное применение данных препаратов (конкурирующих в процессе канальцевой секреции) приведет к повышению концентраций МФКГ и ганцикловира. Существенного изменения фармакокинетики МФК не ожидается, коррекция дозы препарата </w:t>
      </w:r>
      <w:r w:rsidR="002E76D5" w:rsidRPr="002E76D5">
        <w:rPr>
          <w:bCs/>
          <w:caps/>
          <w:lang w:val="ru-RU"/>
        </w:rPr>
        <w:t>[</w:t>
      </w:r>
      <w:r w:rsidR="002E76D5" w:rsidRPr="002E76D5">
        <w:rPr>
          <w:bCs/>
          <w:caps/>
          <w:highlight w:val="lightGray"/>
          <w:lang w:val="ru-RU"/>
        </w:rPr>
        <w:t>ТОРГОВОЕ НАЗВАНИЕ</w:t>
      </w:r>
      <w:r w:rsidR="002E76D5" w:rsidRPr="002E76D5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не требуется. При совместном применении препарата </w:t>
      </w:r>
      <w:r w:rsidR="002E76D5" w:rsidRPr="002E76D5">
        <w:rPr>
          <w:bCs/>
          <w:caps/>
          <w:lang w:val="ru-RU"/>
        </w:rPr>
        <w:t>[</w:t>
      </w:r>
      <w:r w:rsidR="002E76D5" w:rsidRPr="002E76D5">
        <w:rPr>
          <w:bCs/>
          <w:caps/>
          <w:highlight w:val="lightGray"/>
          <w:lang w:val="ru-RU"/>
        </w:rPr>
        <w:t>ТОРГОВОЕ НАЗВАНИЕ</w:t>
      </w:r>
      <w:r w:rsidR="002E76D5" w:rsidRPr="002E76D5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и ганцикловира или его пролекарства, например, валганцикловира, пациенты с почечной недостаточностью должны находиться под тщательным наблюдением; необходимо следовать рекомендациям по дозированию ганцикловира.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 xml:space="preserve">Пероральные контрацептивы 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Совместный прием </w:t>
      </w:r>
      <w:r w:rsidR="00924F12" w:rsidRPr="005A6418">
        <w:rPr>
          <w:spacing w:val="-4"/>
          <w:lang w:val="ru-RU"/>
        </w:rPr>
        <w:t xml:space="preserve">микофенолата мофетила </w:t>
      </w:r>
      <w:r w:rsidRPr="005A6418">
        <w:rPr>
          <w:spacing w:val="-4"/>
          <w:lang w:val="ru-RU"/>
        </w:rPr>
        <w:t>не оказывает влияния на фармакокинетику и фармакодинамику пероральных контрацептивов (см также раздел 5.2).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 xml:space="preserve">Рифампицин 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Введение </w:t>
      </w:r>
      <w:r w:rsidR="00924F12" w:rsidRPr="005A6418">
        <w:rPr>
          <w:spacing w:val="-4"/>
          <w:lang w:val="ru-RU"/>
        </w:rPr>
        <w:t>микофенолата мофетила</w:t>
      </w:r>
      <w:r w:rsidRPr="005A6418">
        <w:rPr>
          <w:spacing w:val="-4"/>
          <w:lang w:val="ru-RU"/>
        </w:rPr>
        <w:t xml:space="preserve"> (без циклоспорина) совместно с рифампицином приводило к снижению экспозиции МФК (</w:t>
      </w:r>
      <w:r w:rsidRPr="005A6418">
        <w:rPr>
          <w:spacing w:val="-4"/>
        </w:rPr>
        <w:t>AUC</w:t>
      </w:r>
      <w:r w:rsidRPr="005A6418">
        <w:rPr>
          <w:spacing w:val="-4"/>
          <w:vertAlign w:val="subscript"/>
          <w:lang w:val="ru-RU"/>
        </w:rPr>
        <w:t>0-12</w:t>
      </w:r>
      <w:r w:rsidRPr="005A6418">
        <w:rPr>
          <w:spacing w:val="-4"/>
          <w:lang w:val="ru-RU"/>
        </w:rPr>
        <w:t xml:space="preserve">) на 18%-70%. При совместном применении рифампицина рекомендуется контролировать экспозицию МФК и соответственно корректировать дозу препарата </w:t>
      </w:r>
      <w:r w:rsidR="002E76D5" w:rsidRPr="002E76D5">
        <w:rPr>
          <w:bCs/>
          <w:caps/>
          <w:lang w:val="ru-RU"/>
        </w:rPr>
        <w:t>[</w:t>
      </w:r>
      <w:r w:rsidR="002E76D5" w:rsidRPr="002E76D5">
        <w:rPr>
          <w:bCs/>
          <w:caps/>
          <w:highlight w:val="lightGray"/>
          <w:lang w:val="ru-RU"/>
        </w:rPr>
        <w:t>ТОРГОВОЕ НАЗВАНИЕ</w:t>
      </w:r>
      <w:r w:rsidR="002E76D5" w:rsidRPr="002E76D5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для поддержания клинической эффективности.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 xml:space="preserve">Севеламер 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Снижение </w:t>
      </w:r>
      <w:r w:rsidRPr="005A6418">
        <w:rPr>
          <w:spacing w:val="-4"/>
        </w:rPr>
        <w:t>C</w:t>
      </w:r>
      <w:r w:rsidRPr="005A6418">
        <w:rPr>
          <w:spacing w:val="-4"/>
          <w:vertAlign w:val="subscript"/>
        </w:rPr>
        <w:t>max</w:t>
      </w:r>
      <w:r w:rsidRPr="005A6418">
        <w:rPr>
          <w:spacing w:val="-4"/>
          <w:lang w:val="ru-RU"/>
        </w:rPr>
        <w:t xml:space="preserve"> и </w:t>
      </w:r>
      <w:r w:rsidRPr="005A6418">
        <w:rPr>
          <w:spacing w:val="-4"/>
        </w:rPr>
        <w:t>AUC</w:t>
      </w:r>
      <w:r w:rsidRPr="005A6418">
        <w:rPr>
          <w:spacing w:val="-4"/>
          <w:vertAlign w:val="subscript"/>
          <w:lang w:val="ru-RU"/>
        </w:rPr>
        <w:t>0-12</w:t>
      </w:r>
      <w:r w:rsidRPr="005A6418">
        <w:rPr>
          <w:spacing w:val="-4"/>
          <w:lang w:val="ru-RU"/>
        </w:rPr>
        <w:t xml:space="preserve"> МФК на 30% и 25%, соответственно, отмечалось при совместном применении </w:t>
      </w:r>
      <w:r w:rsidR="00924F12" w:rsidRPr="005A6418">
        <w:rPr>
          <w:spacing w:val="-4"/>
          <w:lang w:val="ru-RU"/>
        </w:rPr>
        <w:t xml:space="preserve">микофенолата мофетила </w:t>
      </w:r>
      <w:r w:rsidRPr="005A6418">
        <w:rPr>
          <w:spacing w:val="-4"/>
          <w:lang w:val="ru-RU"/>
        </w:rPr>
        <w:t>и севеламера без каких-л</w:t>
      </w:r>
      <w:r w:rsidR="005A6418">
        <w:rPr>
          <w:spacing w:val="-4"/>
          <w:lang w:val="ru-RU"/>
        </w:rPr>
        <w:t>ибо клинических последствий (т.</w:t>
      </w:r>
      <w:r w:rsidRPr="005A6418">
        <w:rPr>
          <w:spacing w:val="-4"/>
          <w:lang w:val="ru-RU"/>
        </w:rPr>
        <w:t xml:space="preserve">е. отторжения трансплантата). Тем не менее, рекомендуется </w:t>
      </w:r>
      <w:r w:rsidRPr="005A6418">
        <w:rPr>
          <w:spacing w:val="-4"/>
          <w:lang w:val="ru-RU"/>
        </w:rPr>
        <w:lastRenderedPageBreak/>
        <w:t xml:space="preserve">принимать препарат </w:t>
      </w:r>
      <w:r w:rsidR="002E76D5" w:rsidRPr="002E76D5">
        <w:rPr>
          <w:bCs/>
          <w:caps/>
          <w:lang w:val="ru-RU"/>
        </w:rPr>
        <w:t>[</w:t>
      </w:r>
      <w:r w:rsidR="002E76D5" w:rsidRPr="002E76D5">
        <w:rPr>
          <w:bCs/>
          <w:caps/>
          <w:highlight w:val="lightGray"/>
          <w:lang w:val="ru-RU"/>
        </w:rPr>
        <w:t>ТОРГОВОЕ НАЗВАНИЕ</w:t>
      </w:r>
      <w:r w:rsidR="002E76D5" w:rsidRPr="002E76D5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как минимум за один час до или через три часа после приема севеламера, чтобы свести к минимуму воздействие на абсорбцию МФК. Данные о применении </w:t>
      </w:r>
      <w:r w:rsidR="00924F12" w:rsidRPr="005A6418">
        <w:rPr>
          <w:spacing w:val="-4"/>
          <w:lang w:val="ru-RU"/>
        </w:rPr>
        <w:t>микофенолата мофетила</w:t>
      </w:r>
      <w:r w:rsidRPr="005A6418">
        <w:rPr>
          <w:spacing w:val="-4"/>
          <w:lang w:val="ru-RU"/>
        </w:rPr>
        <w:t xml:space="preserve"> с другими фосфат-связывающими препаратами, кроме севеламера, отсутствуют.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 xml:space="preserve">Такролимус 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У пациентов после пересадки печени, начавших терапию </w:t>
      </w:r>
      <w:r w:rsidR="00924F12" w:rsidRPr="005A6418">
        <w:rPr>
          <w:spacing w:val="-4"/>
          <w:lang w:val="ru-RU"/>
        </w:rPr>
        <w:t>микофенолат</w:t>
      </w:r>
      <w:r w:rsidR="00924F12">
        <w:rPr>
          <w:spacing w:val="-4"/>
          <w:lang w:val="ru-RU"/>
        </w:rPr>
        <w:t>ом</w:t>
      </w:r>
      <w:r w:rsidR="00924F12" w:rsidRPr="005A6418">
        <w:rPr>
          <w:spacing w:val="-4"/>
          <w:lang w:val="ru-RU"/>
        </w:rPr>
        <w:t xml:space="preserve"> мофетила </w:t>
      </w:r>
      <w:r w:rsidRPr="005A6418">
        <w:rPr>
          <w:spacing w:val="-4"/>
          <w:lang w:val="ru-RU"/>
        </w:rPr>
        <w:t xml:space="preserve">и такролимусом, значимого воздействия совместного применения с такролимусом на </w:t>
      </w:r>
      <w:r w:rsidRPr="005A6418">
        <w:rPr>
          <w:spacing w:val="-4"/>
        </w:rPr>
        <w:t>AUC</w:t>
      </w:r>
      <w:r w:rsidRPr="005A6418">
        <w:rPr>
          <w:spacing w:val="-4"/>
          <w:lang w:val="ru-RU"/>
        </w:rPr>
        <w:t xml:space="preserve"> и С</w:t>
      </w:r>
      <w:r w:rsidRPr="005A6418">
        <w:rPr>
          <w:spacing w:val="-4"/>
          <w:vertAlign w:val="subscript"/>
        </w:rPr>
        <w:t>max</w:t>
      </w:r>
      <w:r w:rsidRPr="005A6418">
        <w:rPr>
          <w:spacing w:val="-4"/>
          <w:lang w:val="ru-RU"/>
        </w:rPr>
        <w:t xml:space="preserve"> МФК (активного метаболита </w:t>
      </w:r>
      <w:r w:rsidR="00924F12" w:rsidRPr="005A6418">
        <w:rPr>
          <w:spacing w:val="-4"/>
          <w:lang w:val="ru-RU"/>
        </w:rPr>
        <w:t>микофенолата мофетила</w:t>
      </w:r>
      <w:r w:rsidRPr="005A6418">
        <w:rPr>
          <w:spacing w:val="-4"/>
          <w:lang w:val="ru-RU"/>
        </w:rPr>
        <w:t xml:space="preserve">) не отмечалось. Для сравнения, у пациентов с печеночным трансплантатом, принимающих такролимус, после многократного введения доз </w:t>
      </w:r>
      <w:r w:rsidR="00924F12" w:rsidRPr="005A6418">
        <w:rPr>
          <w:spacing w:val="-4"/>
          <w:lang w:val="ru-RU"/>
        </w:rPr>
        <w:t xml:space="preserve">микофенолата мофетила </w:t>
      </w:r>
      <w:r w:rsidRPr="005A6418">
        <w:rPr>
          <w:spacing w:val="-4"/>
          <w:lang w:val="ru-RU"/>
        </w:rPr>
        <w:t xml:space="preserve">(1.5 г два раза в сутки) наблюдалось увеличение </w:t>
      </w:r>
      <w:r w:rsidRPr="005A6418">
        <w:rPr>
          <w:spacing w:val="-4"/>
        </w:rPr>
        <w:t>AUC</w:t>
      </w:r>
      <w:r w:rsidRPr="005A6418">
        <w:rPr>
          <w:spacing w:val="-4"/>
          <w:lang w:val="ru-RU"/>
        </w:rPr>
        <w:t xml:space="preserve"> такролимуса примерно на 20%. Тем не менее, у пациентов с почечным трансплантатом концентрации такролимуса при приеме </w:t>
      </w:r>
      <w:r w:rsidR="00924F12" w:rsidRPr="005A6418">
        <w:rPr>
          <w:spacing w:val="-4"/>
          <w:lang w:val="ru-RU"/>
        </w:rPr>
        <w:t xml:space="preserve">микофенолата мофетила </w:t>
      </w:r>
      <w:r w:rsidRPr="005A6418">
        <w:rPr>
          <w:spacing w:val="-4"/>
          <w:lang w:val="ru-RU"/>
        </w:rPr>
        <w:t>не изменялись (см. также раздел 4.4).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Живые вакцины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Живые вакцины пациентам с ослабленным иммунным ответом не должны вводиться. Антителообразование в ответ на другие вакцины может быть снижено (см. также раздел 4.4).</w:t>
      </w:r>
    </w:p>
    <w:p w:rsidR="00A65B4B" w:rsidRPr="000940E0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0940E0">
        <w:rPr>
          <w:i/>
          <w:spacing w:val="-4"/>
          <w:lang w:val="ru-RU"/>
        </w:rPr>
        <w:t>Потенциальное взаимодействие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При совместном применении пробенецида и микофенолата мофетила у обезьян отмечалось увеличение </w:t>
      </w:r>
      <w:r w:rsidRPr="005A6418">
        <w:rPr>
          <w:spacing w:val="-4"/>
        </w:rPr>
        <w:t>AUC</w:t>
      </w:r>
      <w:r w:rsidRPr="005A6418">
        <w:rPr>
          <w:spacing w:val="-4"/>
          <w:lang w:val="ru-RU"/>
        </w:rPr>
        <w:t xml:space="preserve"> МФКГ в плазме в 3 раза. Таким образом, другие лекарственные препараты, подвергающиеся канальцевой секреции, могут конкурировать с МФКГ, что приводит к увеличению концентрации МФКГ или другого лекарственного препарата в плазме, которое также подвергается канальцевой секреции.</w:t>
      </w:r>
    </w:p>
    <w:p w:rsidR="00A65B4B" w:rsidRPr="005A6418" w:rsidRDefault="00A65B4B" w:rsidP="005A6418">
      <w:pPr>
        <w:jc w:val="both"/>
        <w:rPr>
          <w:spacing w:val="-4"/>
          <w:lang w:val="ru-RU"/>
        </w:rPr>
      </w:pP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4.6</w:t>
      </w:r>
      <w:r w:rsidR="000940E0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Фертильность, беременность и лактация</w:t>
      </w:r>
    </w:p>
    <w:p w:rsidR="00A65B4B" w:rsidRPr="000940E0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0940E0">
        <w:rPr>
          <w:i/>
          <w:spacing w:val="-4"/>
          <w:lang w:val="ru-RU"/>
        </w:rPr>
        <w:t xml:space="preserve">Женщины с детородным потенциалом 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Во время лечения микофенолатом должны быть предприняты меры по предотвращению беременности. Следовательно, женщины с детородным потенциалом должны использовать как минимум один способ надежной контрацепции (см. раздел 4.3) до начала терапии препаратом </w:t>
      </w:r>
      <w:r w:rsidR="002E76D5" w:rsidRPr="002E76D5">
        <w:rPr>
          <w:bCs/>
          <w:caps/>
          <w:lang w:val="ru-RU"/>
        </w:rPr>
        <w:t>[</w:t>
      </w:r>
      <w:r w:rsidR="002E76D5" w:rsidRPr="002E76D5">
        <w:rPr>
          <w:bCs/>
          <w:caps/>
          <w:highlight w:val="lightGray"/>
          <w:lang w:val="ru-RU"/>
        </w:rPr>
        <w:t>ТОРГОВОЕ НАЗВАНИЕ</w:t>
      </w:r>
      <w:r w:rsidR="002E76D5" w:rsidRPr="002E76D5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>, во время лечения и в течение шести недель после окончания терапии, за исключением случаев, когда избранным методом контрацепции является воздержание от половой жизни. Предпочтительно использовать два дополняющих друг друга способа контрацепции одновременно.</w:t>
      </w:r>
    </w:p>
    <w:p w:rsidR="00A65B4B" w:rsidRPr="000940E0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0940E0">
        <w:rPr>
          <w:i/>
          <w:spacing w:val="-4"/>
          <w:lang w:val="ru-RU"/>
        </w:rPr>
        <w:t>Беременность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Препарат </w:t>
      </w:r>
      <w:r w:rsidR="002E76D5" w:rsidRPr="002E76D5">
        <w:rPr>
          <w:bCs/>
          <w:caps/>
          <w:lang w:val="ru-RU"/>
        </w:rPr>
        <w:t>[</w:t>
      </w:r>
      <w:r w:rsidR="002E76D5" w:rsidRPr="002E76D5">
        <w:rPr>
          <w:bCs/>
          <w:caps/>
          <w:highlight w:val="lightGray"/>
          <w:lang w:val="ru-RU"/>
        </w:rPr>
        <w:t>ТОРГОВОЕ НАЗВАНИЕ</w:t>
      </w:r>
      <w:r w:rsidR="002E76D5" w:rsidRPr="002E76D5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противопоказан в период беременности, за исключением случаев отсутствия альтернативной терапии по предотвращению отторжения трансплантата. Терапию не следует начинать в отсутствие отрицательного результата теста на беременность для исключения непреднамеренного применения препарата в период беременности.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Перед началом терапии пациенток с детородным потенциалом необходимо проинформировать о повышенном риске выкидыша и врожденных пороков развития, а также проконсультировать по вопросам предотвращения и планирования беременности.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До начала терапии препаратом </w:t>
      </w:r>
      <w:r w:rsidR="002E76D5" w:rsidRPr="002E76D5">
        <w:rPr>
          <w:bCs/>
          <w:caps/>
          <w:lang w:val="ru-RU"/>
        </w:rPr>
        <w:t>[</w:t>
      </w:r>
      <w:r w:rsidR="002E76D5" w:rsidRPr="002E76D5">
        <w:rPr>
          <w:bCs/>
          <w:caps/>
          <w:highlight w:val="lightGray"/>
          <w:lang w:val="ru-RU"/>
        </w:rPr>
        <w:t>ТОРГОВОЕ НАЗВАНИЕ</w:t>
      </w:r>
      <w:r w:rsidR="002E76D5" w:rsidRPr="002E76D5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у женщин с детородным потенциалом должны быть получены отрицательные результаты 2-х тестов на беременность при использовании методов анализа сыворотки или мочи с чувствительностью не менее 25 мМЕ/мл для исключения непреднамеренного воздействия микофенолата на эмбрион. Рекомендуется проведение второго тестирования через 8-10 дней после первого. В случае трансплантации органов умерших доноров, если возможность проведения двух тестов на беременность с интервалом 8-10 дней до начала лечения отсутствует (ввиду ограничения периода жизнеспособности трансплантата), тестирование на беременность должно быть проведено непосредственно перед началом терапии, а второй тест должен быть проведен через 8-10 дней после первого. Тестирование </w:t>
      </w:r>
      <w:r w:rsidRPr="005A6418">
        <w:rPr>
          <w:spacing w:val="-4"/>
          <w:lang w:val="ru-RU"/>
        </w:rPr>
        <w:lastRenderedPageBreak/>
        <w:t>на беременность следует повторять при клинической необходимости (например, после сообщения о нарушении правил контрацепции). Результаты всех тестов на беременность необходимо обсудить с пациенткой. Пациентки должны быть проинформированы о необходимости немедленного обращения к лечащему врачу в случае наступления беременности.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Микофенолат является мощным тератогеном для человека с повышенным риском самопроизвольных абортов и врожденных пороков развития при применении препарата в период беременности:</w:t>
      </w:r>
    </w:p>
    <w:p w:rsidR="00A65B4B" w:rsidRPr="005A6418" w:rsidRDefault="000C6871" w:rsidP="005A641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отмечались случаи самопроизвольных абортов у 45%-49% беременных женщин, получавших микофенолата мофетил по сравнению с 12%-33% пациенток, получавших лечение другими иммуносупрессантами, кроме микофенолата мофетила, после трансплантации солидных органов.</w:t>
      </w:r>
    </w:p>
    <w:p w:rsidR="00A65B4B" w:rsidRPr="005A6418" w:rsidRDefault="000C6871" w:rsidP="005A641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согласно литературным данным врожденные пороки развития наблюдались в 23%-27% случаев живорождений у женщин, принимавших микофенолата мофетил в период беременности (по сравнению с 2-3% случаев живорождений в общей популяции и приблизительно в 4-5% случаев живорождений у пациенток, перенесших трансплантацию солидных органов, получавших лечение другими иммуносупрессантами, кроме микофенолата мофетила).</w:t>
      </w:r>
    </w:p>
    <w:p w:rsidR="00A65B4B" w:rsidRPr="002E76D5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Врожденные пороки развития, включая случаи множественных пороков развития, наблюдались у детей пациенток, принимавших </w:t>
      </w:r>
      <w:r w:rsidR="00924F12" w:rsidRPr="005A6418">
        <w:rPr>
          <w:spacing w:val="-4"/>
          <w:lang w:val="ru-RU"/>
        </w:rPr>
        <w:t>микофенолата мофетила</w:t>
      </w:r>
      <w:r w:rsidRPr="005A6418">
        <w:rPr>
          <w:spacing w:val="-4"/>
          <w:lang w:val="ru-RU"/>
        </w:rPr>
        <w:t xml:space="preserve"> в комбинации с другими иммуносупрессантами в период беременности. </w:t>
      </w:r>
      <w:r w:rsidRPr="002E76D5">
        <w:rPr>
          <w:spacing w:val="-4"/>
          <w:lang w:val="ru-RU"/>
        </w:rPr>
        <w:t>Наиболее часто отмечались следующие пороки развития:</w:t>
      </w:r>
    </w:p>
    <w:p w:rsidR="00A65B4B" w:rsidRPr="005A6418" w:rsidRDefault="000C6871" w:rsidP="005A641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аномалии развития уха (например, аномалия формы или отсутствие наружного уха), атрезия наружного слухового прохода (среднего уха); </w:t>
      </w:r>
    </w:p>
    <w:p w:rsidR="00A65B4B" w:rsidRPr="005A6418" w:rsidRDefault="000C6871" w:rsidP="005A641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пороки развития лица, такие как расщепление губы, расщепление неба, микрогнатия и орбитальный гипертелоризм;</w:t>
      </w:r>
    </w:p>
    <w:p w:rsidR="00A65B4B" w:rsidRPr="005A6418" w:rsidRDefault="000C6871" w:rsidP="005A641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аномалии развития глаза (например, колобома); </w:t>
      </w:r>
    </w:p>
    <w:p w:rsidR="00A65B4B" w:rsidRPr="005A6418" w:rsidRDefault="000C6871" w:rsidP="005A641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врожденные пороки сердца, такие как дефекты межпредсердной и межжелудочковой перегородки;</w:t>
      </w:r>
    </w:p>
    <w:p w:rsidR="00A65B4B" w:rsidRPr="005A6418" w:rsidRDefault="000C6871" w:rsidP="005A641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пороки развития пальцев (например, полидактилия, синдактилия);</w:t>
      </w:r>
    </w:p>
    <w:p w:rsidR="00A65B4B" w:rsidRPr="005A6418" w:rsidRDefault="000C6871" w:rsidP="005A641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трахео-эзофагеальные пороки развития (например, атрезия пищевода);</w:t>
      </w:r>
    </w:p>
    <w:p w:rsidR="00A65B4B" w:rsidRPr="005A6418" w:rsidRDefault="000C6871" w:rsidP="005A641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пороки развития нервной системы (такие как расщепление</w:t>
      </w:r>
      <w:r w:rsidR="000940E0">
        <w:rPr>
          <w:spacing w:val="-4"/>
          <w:lang w:val="ru-RU"/>
        </w:rPr>
        <w:t xml:space="preserve"> </w:t>
      </w:r>
      <w:r w:rsidRPr="005A6418">
        <w:rPr>
          <w:spacing w:val="-4"/>
          <w:lang w:val="ru-RU"/>
        </w:rPr>
        <w:t>позвоночника);</w:t>
      </w:r>
    </w:p>
    <w:p w:rsidR="00A65B4B" w:rsidRPr="005A6418" w:rsidRDefault="000C6871" w:rsidP="005A641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</w:rPr>
      </w:pPr>
      <w:r w:rsidRPr="005A6418">
        <w:rPr>
          <w:spacing w:val="-4"/>
        </w:rPr>
        <w:t>пороки развития почек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Также получены отдельные сообщения о следующих пороках развития:</w:t>
      </w:r>
    </w:p>
    <w:p w:rsidR="00A65B4B" w:rsidRPr="005A6418" w:rsidRDefault="000C6871" w:rsidP="005A641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</w:rPr>
      </w:pPr>
      <w:r w:rsidRPr="005A6418">
        <w:rPr>
          <w:spacing w:val="-4"/>
        </w:rPr>
        <w:t>микрофтальм;</w:t>
      </w:r>
    </w:p>
    <w:p w:rsidR="00A65B4B" w:rsidRPr="005A6418" w:rsidRDefault="000C6871" w:rsidP="005A641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</w:rPr>
      </w:pPr>
      <w:r w:rsidRPr="005A6418">
        <w:rPr>
          <w:spacing w:val="-4"/>
        </w:rPr>
        <w:t>врожденная киста сосудистого сплетения;</w:t>
      </w:r>
    </w:p>
    <w:p w:rsidR="00A65B4B" w:rsidRPr="005A6418" w:rsidRDefault="000C6871" w:rsidP="005A641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</w:rPr>
      </w:pPr>
      <w:r w:rsidRPr="005A6418">
        <w:rPr>
          <w:spacing w:val="-4"/>
        </w:rPr>
        <w:t>агенезия прозрачной перегородки;</w:t>
      </w:r>
    </w:p>
    <w:p w:rsidR="00A65B4B" w:rsidRPr="005A6418" w:rsidRDefault="000C6871" w:rsidP="005A6418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</w:rPr>
      </w:pPr>
      <w:r w:rsidRPr="005A6418">
        <w:rPr>
          <w:spacing w:val="-4"/>
        </w:rPr>
        <w:t>агенезия обонятельного нерва.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Исследования на животных показали репродуктивную токсичность (см. раздел 5.3).</w:t>
      </w:r>
    </w:p>
    <w:p w:rsidR="00A65B4B" w:rsidRPr="000940E0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0940E0">
        <w:rPr>
          <w:i/>
          <w:spacing w:val="-4"/>
          <w:lang w:val="ru-RU"/>
        </w:rPr>
        <w:t>Кормление грудью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Показано, что микофенолата мофетил секретируется с молоком кормящих крыс. Неизвестно, выделяется ли микофенолата мофетил с грудным молоком у человека. Препарат </w:t>
      </w:r>
      <w:r w:rsidR="002E76D5" w:rsidRPr="002E76D5">
        <w:rPr>
          <w:bCs/>
          <w:caps/>
          <w:lang w:val="ru-RU"/>
        </w:rPr>
        <w:t>[</w:t>
      </w:r>
      <w:r w:rsidR="002E76D5" w:rsidRPr="002E76D5">
        <w:rPr>
          <w:bCs/>
          <w:caps/>
          <w:highlight w:val="lightGray"/>
          <w:lang w:val="ru-RU"/>
        </w:rPr>
        <w:t>ТОРГОВОЕ НАЗВАНИЕ</w:t>
      </w:r>
      <w:r w:rsidR="002E76D5" w:rsidRPr="002E76D5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противопоказан в период грудного вскармливания в связи с потенциальным развитием серьезных нежелательных реакций у младенцев, находящихся на грудном вскармливании (см. раздел 4.3).</w:t>
      </w:r>
    </w:p>
    <w:p w:rsidR="00A65B4B" w:rsidRPr="000940E0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0940E0">
        <w:rPr>
          <w:i/>
          <w:spacing w:val="-4"/>
          <w:lang w:val="ru-RU"/>
        </w:rPr>
        <w:t>Мужчины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Ограниченные клинические данные не указывают на повышенный риск врожденных пороков развития или невынашивания в результате воздействия микофенолата мофетила на отцовский организм. 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МФК является мощным тератогеном. Неизвестно, присутствует ли МФК в сперме. Согласно расчетам, основанным на результатах исследований у животных, максимальное количество МФК, которое потенциально может быть передано женщине, настолько мало, </w:t>
      </w:r>
      <w:r w:rsidRPr="005A6418">
        <w:rPr>
          <w:spacing w:val="-4"/>
          <w:lang w:val="ru-RU"/>
        </w:rPr>
        <w:lastRenderedPageBreak/>
        <w:t xml:space="preserve">что его влияние будет маловероятным. В исследованиях у животных было продемонстрировано, что микофенолат генотоксичен в концентрациях, лишь незначительно превышающих терапевтические концентрации у человека, поэтому риск генотоксического воздействия на сперматозоиды не может быть полностью исключен. 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Таким образом, рекомендуются следующие меры предосторожности: пациентам мужского пола, ведущим половую жизнь, или их партнершам рекомендуется использовать надежные методы контрацепции во время терапии и, как минимум, в течение 90 дней после прекращения приема микофенолата мофетила. Пациентов мужского пола с репродуктивным потенциалом следует информировать и обсудить о потенциальных рисках при зачатии ребенка с врачом.</w:t>
      </w:r>
    </w:p>
    <w:p w:rsidR="00A65B4B" w:rsidRPr="005A6418" w:rsidRDefault="00A65B4B" w:rsidP="005A6418">
      <w:pPr>
        <w:jc w:val="both"/>
        <w:rPr>
          <w:b/>
          <w:spacing w:val="-4"/>
          <w:lang w:val="ru-RU"/>
        </w:rPr>
      </w:pP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4.7</w:t>
      </w:r>
      <w:r w:rsidR="000940E0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Влияние на способность управлять транспортными средствами и</w:t>
      </w:r>
      <w:r w:rsidRPr="005A6418">
        <w:rPr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потенциально опасными механизмами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Препарат </w:t>
      </w:r>
      <w:r w:rsidR="002E76D5" w:rsidRPr="002E76D5">
        <w:rPr>
          <w:bCs/>
          <w:caps/>
          <w:lang w:val="ru-RU"/>
        </w:rPr>
        <w:t>[</w:t>
      </w:r>
      <w:r w:rsidR="002E76D5" w:rsidRPr="002E76D5">
        <w:rPr>
          <w:bCs/>
          <w:caps/>
          <w:highlight w:val="lightGray"/>
          <w:lang w:val="ru-RU"/>
        </w:rPr>
        <w:t>ТОРГОВОЕ НАЗВАНИЕ</w:t>
      </w:r>
      <w:r w:rsidR="002E76D5" w:rsidRPr="002E76D5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оказывает умеренное влияние на способность управлять транспортными средствами и механизмами. 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Препарат </w:t>
      </w:r>
      <w:r w:rsidR="002E76D5" w:rsidRPr="002E76D5">
        <w:rPr>
          <w:bCs/>
          <w:caps/>
          <w:lang w:val="ru-RU"/>
        </w:rPr>
        <w:t>[</w:t>
      </w:r>
      <w:r w:rsidR="002E76D5" w:rsidRPr="002E76D5">
        <w:rPr>
          <w:bCs/>
          <w:caps/>
          <w:highlight w:val="lightGray"/>
          <w:lang w:val="ru-RU"/>
        </w:rPr>
        <w:t>ТОРГОВОЕ НАЗВАНИЕ</w:t>
      </w:r>
      <w:r w:rsidR="002E76D5" w:rsidRPr="002E76D5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может вызывать сонливость, спутанность сознания, головокружение, тремор или артериальную гипотензию, поэтому, пациентам рекомендуется соблюдать осторожность при управлении транспортными средствами или механизмами. </w:t>
      </w:r>
    </w:p>
    <w:p w:rsidR="00A65B4B" w:rsidRPr="005A6418" w:rsidRDefault="00A65B4B" w:rsidP="005A6418">
      <w:pPr>
        <w:jc w:val="both"/>
        <w:rPr>
          <w:spacing w:val="-4"/>
          <w:lang w:val="ru-RU"/>
        </w:rPr>
      </w:pP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4.8</w:t>
      </w:r>
      <w:r w:rsidR="000940E0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Нежелательные реакции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Резюме профиля безопасности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По оценкам, в общей сложности, 1557 пациентов получили препарат </w:t>
      </w:r>
      <w:r w:rsidR="00924F12" w:rsidRPr="005A6418">
        <w:rPr>
          <w:spacing w:val="-4"/>
          <w:lang w:val="ru-RU"/>
        </w:rPr>
        <w:t xml:space="preserve">микофенолата мофетила </w:t>
      </w:r>
      <w:r w:rsidRPr="005A6418">
        <w:rPr>
          <w:spacing w:val="-4"/>
          <w:lang w:val="ru-RU"/>
        </w:rPr>
        <w:t xml:space="preserve">для профилактики острого отторжения трансплантата в ходе пяти клинических исследований. Из них 991 пациент принимал участие в трех исследованиях после пересадки почки, 227 пациентов - в одном исследовании после пересадки печени и 289 пациентов - в одном исследовании после пересадки сердца. Азатиоприн применялся в качестве препарата сравнения в исследованиях после пересадки печени и сердца и в двух исследованиях после пересадки почки; в одном исследовании после пересадки почки пациенты в группе сравнения получали плацебо. Во всех группах клинических исследований пациенты также получали циклоспорин и кортикостероиды. Типы нежелательных реакций, о которых сообщалось в пострегистрационный период применения </w:t>
      </w:r>
      <w:r w:rsidR="00924F12" w:rsidRPr="005A6418">
        <w:rPr>
          <w:spacing w:val="-4"/>
          <w:lang w:val="ru-RU"/>
        </w:rPr>
        <w:t>микофенолата мофетила</w:t>
      </w:r>
      <w:r w:rsidRPr="005A6418">
        <w:rPr>
          <w:spacing w:val="-4"/>
          <w:lang w:val="ru-RU"/>
        </w:rPr>
        <w:t>, были схожи с таковыми, наблюдавшимися в ходе контролируемых клинических исследований у пациентов с трансплантатами почки, сердца и печени.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Наиболее частыми и/или серьезными нежелательными реакциями, ассоциированные с применением </w:t>
      </w:r>
      <w:r w:rsidR="00924F12" w:rsidRPr="005A6418">
        <w:rPr>
          <w:spacing w:val="-4"/>
          <w:lang w:val="ru-RU"/>
        </w:rPr>
        <w:t>микофенолата мофетила</w:t>
      </w:r>
      <w:r w:rsidRPr="005A6418">
        <w:rPr>
          <w:spacing w:val="-4"/>
          <w:lang w:val="ru-RU"/>
        </w:rPr>
        <w:t xml:space="preserve"> в комбинации с циклоспорином и глюкокортикостероидами, были диарея, лейкопения, сепсис и рвота. Также имеются данные о повышении частоты развития некоторых видов инфекций (см. раздел 4.4).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Резюме в форме таблицы нежелательных реакций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rFonts w:eastAsia="Gungsuh"/>
          <w:spacing w:val="-4"/>
          <w:lang w:val="ru-RU"/>
        </w:rPr>
        <w:t xml:space="preserve">Нежелательные реакции (НР), наблюдавшиеся в ходе клинических исследований и в пострегистрационный период, перечислены в Таблице 1 в разрезе по системно-органным классам </w:t>
      </w:r>
      <w:r w:rsidRPr="005A6418">
        <w:rPr>
          <w:rFonts w:eastAsia="Gungsuh"/>
          <w:spacing w:val="-4"/>
        </w:rPr>
        <w:t>MedDRA</w:t>
      </w:r>
      <w:r w:rsidRPr="005A6418">
        <w:rPr>
          <w:rFonts w:eastAsia="Gungsuh"/>
          <w:spacing w:val="-4"/>
          <w:lang w:val="ru-RU"/>
        </w:rPr>
        <w:t xml:space="preserve"> (СОК) и категориям частоты возникновения. Для описания частоты нежелательных реакций используется следующая классификация: очень часто (≥1/10), часто (от ≥1/100 до &lt;1/10), нечасто (от ≥1/1000 до &lt;1/100), редко (от ≥1/10 000 до &lt;1/1000) и очень редко (&lt;1/10000). Ввиду значительных различий в зависимости от показаний к трансплантации, частота развития некоторых нежелательных реакций у пациентов с трансплантатами почек, сердца и печени представлена раздельно.</w:t>
      </w:r>
    </w:p>
    <w:p w:rsidR="00A65B4B" w:rsidRPr="005A6418" w:rsidRDefault="00A65B4B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</w:p>
    <w:p w:rsidR="00525D65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Таблица 1 Перечень нежелательных реакций у</w:t>
      </w:r>
      <w:r w:rsidR="00924F12">
        <w:rPr>
          <w:b/>
          <w:spacing w:val="-4"/>
          <w:lang w:val="ru-RU"/>
        </w:rPr>
        <w:t xml:space="preserve"> пациентов, получавших </w:t>
      </w:r>
      <w:r w:rsidR="00924F12" w:rsidRPr="00924F12">
        <w:rPr>
          <w:b/>
          <w:spacing w:val="-4"/>
          <w:lang w:val="ru-RU"/>
        </w:rPr>
        <w:t>микофенолата мофетила</w:t>
      </w:r>
      <w:r w:rsidR="00924F12">
        <w:rPr>
          <w:spacing w:val="-4"/>
          <w:lang w:val="ru-RU"/>
        </w:rPr>
        <w:t>,</w:t>
      </w:r>
      <w:r w:rsidR="00924F12" w:rsidRPr="005A6418">
        <w:rPr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в клинических исследованиях и в пострегистрационный период</w:t>
      </w:r>
    </w:p>
    <w:tbl>
      <w:tblPr>
        <w:tblStyle w:val="aff0"/>
        <w:tblW w:w="895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8"/>
        <w:gridCol w:w="1701"/>
        <w:gridCol w:w="1713"/>
        <w:gridCol w:w="1835"/>
      </w:tblGrid>
      <w:tr w:rsidR="00CE0511" w:rsidRPr="005A6418" w:rsidTr="000940E0">
        <w:trPr>
          <w:trHeight w:val="1383"/>
        </w:trPr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  <w:lang w:val="ru-RU"/>
              </w:rPr>
            </w:pPr>
            <w:r w:rsidRPr="005A6418">
              <w:rPr>
                <w:b/>
                <w:spacing w:val="-4"/>
                <w:lang w:val="ru-RU"/>
              </w:rPr>
              <w:lastRenderedPageBreak/>
              <w:t>Нежелательная реакция</w:t>
            </w:r>
          </w:p>
          <w:p w:rsidR="00A65B4B" w:rsidRPr="005A6418" w:rsidRDefault="00A65B4B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  <w:lang w:val="ru-RU"/>
              </w:rPr>
            </w:pPr>
          </w:p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  <w:lang w:val="ru-RU"/>
              </w:rPr>
            </w:pPr>
            <w:r w:rsidRPr="005A6418">
              <w:rPr>
                <w:b/>
                <w:spacing w:val="-4"/>
                <w:lang w:val="ru-RU"/>
              </w:rPr>
              <w:t>(</w:t>
            </w:r>
            <w:r w:rsidRPr="005A6418">
              <w:rPr>
                <w:b/>
                <w:spacing w:val="-4"/>
              </w:rPr>
              <w:t>MedDRA</w:t>
            </w:r>
            <w:r w:rsidRPr="005A6418">
              <w:rPr>
                <w:b/>
                <w:spacing w:val="-4"/>
                <w:lang w:val="ru-RU"/>
              </w:rPr>
              <w:t xml:space="preserve">) </w:t>
            </w:r>
          </w:p>
          <w:p w:rsidR="00A65B4B" w:rsidRPr="005A6418" w:rsidRDefault="00A65B4B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  <w:lang w:val="ru-RU"/>
              </w:rPr>
            </w:pPr>
          </w:p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  <w:lang w:val="ru-RU"/>
              </w:rPr>
            </w:pPr>
            <w:r w:rsidRPr="005A6418">
              <w:rPr>
                <w:b/>
                <w:spacing w:val="-4"/>
                <w:lang w:val="ru-RU"/>
              </w:rPr>
              <w:t>Системно-</w:t>
            </w:r>
          </w:p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pacing w:val="-4"/>
                <w:lang w:val="ru-RU"/>
              </w:rPr>
            </w:pPr>
            <w:r w:rsidRPr="005A6418">
              <w:rPr>
                <w:b/>
                <w:spacing w:val="-4"/>
                <w:lang w:val="ru-RU"/>
              </w:rPr>
              <w:t>органный класс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b/>
                <w:spacing w:val="-4"/>
              </w:rPr>
              <w:t>Почечный трансплантат</w:t>
            </w:r>
          </w:p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b/>
                <w:spacing w:val="-4"/>
              </w:rPr>
              <w:t>n=991</w:t>
            </w:r>
          </w:p>
        </w:tc>
        <w:tc>
          <w:tcPr>
            <w:tcW w:w="1713" w:type="dxa"/>
            <w:shd w:val="clear" w:color="auto" w:fill="auto"/>
            <w:vAlign w:val="bottom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b/>
                <w:spacing w:val="-4"/>
              </w:rPr>
              <w:t xml:space="preserve">Печеночный трансплантат </w:t>
            </w:r>
          </w:p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b/>
                <w:spacing w:val="-4"/>
              </w:rPr>
              <w:t>n=277</w:t>
            </w:r>
          </w:p>
        </w:tc>
        <w:tc>
          <w:tcPr>
            <w:tcW w:w="1835" w:type="dxa"/>
            <w:shd w:val="clear" w:color="auto" w:fill="auto"/>
            <w:vAlign w:val="bottom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b/>
                <w:spacing w:val="-4"/>
              </w:rPr>
              <w:t>Сердечный трансплантат</w:t>
            </w:r>
          </w:p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b/>
                <w:spacing w:val="-4"/>
              </w:rPr>
              <w:t>n=289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A65B4B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Частота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Частота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Частота</w:t>
            </w:r>
          </w:p>
        </w:tc>
      </w:tr>
      <w:tr w:rsidR="00CE0511" w:rsidRPr="005A6418" w:rsidTr="000940E0">
        <w:tc>
          <w:tcPr>
            <w:tcW w:w="8957" w:type="dxa"/>
            <w:gridSpan w:val="4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b/>
                <w:spacing w:val="-4"/>
              </w:rPr>
              <w:t>Инфекции и инвазии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Бактериальные инфекции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Грибковые инфекции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Протозойные инфекции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Вирусные инфекции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924F12" w:rsidTr="000940E0">
        <w:tc>
          <w:tcPr>
            <w:tcW w:w="8957" w:type="dxa"/>
            <w:gridSpan w:val="4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  <w:lang w:val="ru-RU"/>
              </w:rPr>
            </w:pPr>
            <w:r w:rsidRPr="005A6418">
              <w:rPr>
                <w:b/>
                <w:spacing w:val="-4"/>
                <w:lang w:val="ru-RU"/>
              </w:rPr>
              <w:t>Доброкачественные, злокачественные и неуточненные новообразования (включая кисты и полипы)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Доброкачественное новообразование кожи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Лимфома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Лимфопролиферативное заболевание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Новообразование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Рак кожи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924F12" w:rsidTr="000940E0">
        <w:tc>
          <w:tcPr>
            <w:tcW w:w="8957" w:type="dxa"/>
            <w:gridSpan w:val="4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  <w:lang w:val="ru-RU"/>
              </w:rPr>
            </w:pPr>
            <w:r w:rsidRPr="005A6418">
              <w:rPr>
                <w:b/>
                <w:spacing w:val="-4"/>
                <w:lang w:val="ru-RU"/>
              </w:rPr>
              <w:t>Нарушения со стороны крови и лимфатической системы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Анемия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Парциальная красноклеточная аплазия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Недостаточность костного мозга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Экхимоз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Лейкоцитоз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Лейкопения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Панцитопения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Псевдолимфома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Тромбоцитопения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8957" w:type="dxa"/>
            <w:gridSpan w:val="4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b/>
                <w:spacing w:val="-4"/>
              </w:rPr>
              <w:t>Нарушения метаболизма и питания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Ацидоз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Гиперхолестеринемия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Гипергликемия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Гиперкалиемия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Гиперлипидемия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Гипокальциемия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Гипокалиемия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Гипомагниемия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Гипофосфатемия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Гиперурикемия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Подагра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Снижение массы тела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8957" w:type="dxa"/>
            <w:gridSpan w:val="4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b/>
                <w:spacing w:val="-4"/>
              </w:rPr>
              <w:t>Психические нарушения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Спутанность сознания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Депрессия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Бессонница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Ажитация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Беспокойство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lastRenderedPageBreak/>
              <w:t>Патологическое мышление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924F12" w:rsidTr="000940E0">
        <w:tc>
          <w:tcPr>
            <w:tcW w:w="8957" w:type="dxa"/>
            <w:gridSpan w:val="4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  <w:lang w:val="ru-RU"/>
              </w:rPr>
            </w:pPr>
            <w:r w:rsidRPr="005A6418">
              <w:rPr>
                <w:b/>
                <w:spacing w:val="-4"/>
                <w:lang w:val="ru-RU"/>
              </w:rPr>
              <w:t>Нарушения со стороны нервной системы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Головокружение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Головная боль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AD00FC" w:rsidRDefault="000C6871" w:rsidP="00AD00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  <w:lang w:val="ru-RU"/>
              </w:rPr>
            </w:pPr>
            <w:r w:rsidRPr="005A6418">
              <w:rPr>
                <w:spacing w:val="-4"/>
              </w:rPr>
              <w:t>Гипертон</w:t>
            </w:r>
            <w:r w:rsidR="00AD00FC">
              <w:rPr>
                <w:spacing w:val="-4"/>
                <w:lang w:val="ru-RU"/>
              </w:rPr>
              <w:t>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Парестезия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Сонливость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Тремор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Судороги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Дисгевзия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8957" w:type="dxa"/>
            <w:gridSpan w:val="4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b/>
                <w:spacing w:val="-4"/>
              </w:rPr>
              <w:t>Нарушения со стороны сердца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Тахикардия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8957" w:type="dxa"/>
            <w:gridSpan w:val="4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b/>
                <w:spacing w:val="-4"/>
              </w:rPr>
              <w:t>Нарушения со стороны сосудов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Артериальная гипертензия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Артериальная гипотензия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Лимфоцеле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Венозный тромбоз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Вазодилатация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924F12" w:rsidTr="000940E0">
        <w:tc>
          <w:tcPr>
            <w:tcW w:w="8957" w:type="dxa"/>
            <w:gridSpan w:val="4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  <w:lang w:val="ru-RU"/>
              </w:rPr>
            </w:pPr>
            <w:r w:rsidRPr="005A6418">
              <w:rPr>
                <w:b/>
                <w:spacing w:val="-4"/>
                <w:lang w:val="ru-RU"/>
              </w:rPr>
              <w:t>Нарушения со стороны дыхательной системы, органов грудной клетки и средостения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Бронхоэктазия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Кашель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Одышка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Интерстициальное заболевание легких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редко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редко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Плевральный выпот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Легочный фиброз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редко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</w:tr>
      <w:tr w:rsidR="00CE0511" w:rsidRPr="005A6418" w:rsidTr="000940E0">
        <w:tc>
          <w:tcPr>
            <w:tcW w:w="8957" w:type="dxa"/>
            <w:gridSpan w:val="4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b/>
                <w:spacing w:val="-4"/>
              </w:rPr>
              <w:t>Желудочно-кишечные нарушения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Вздутие живота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Боль в животе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Колит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Запор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Снижение аппетита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Диарея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Диспепсия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Эзофагит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Отрыжка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Метеоризм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Гастрит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Желудочно-кишечное кровотечение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</w:rPr>
            </w:pPr>
            <w:r w:rsidRPr="005A6418">
              <w:rPr>
                <w:spacing w:val="-4"/>
              </w:rPr>
              <w:t>Язва желудочно-кишечного тракта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Гиперплазия десен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Кишечная непроходимость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Язвы ротовой полости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Тошнота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Панкреатит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Стоматит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Рвота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924F12" w:rsidTr="000940E0">
        <w:tc>
          <w:tcPr>
            <w:tcW w:w="8957" w:type="dxa"/>
            <w:gridSpan w:val="4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  <w:lang w:val="ru-RU"/>
              </w:rPr>
            </w:pPr>
            <w:r w:rsidRPr="005A6418">
              <w:rPr>
                <w:b/>
                <w:spacing w:val="-4"/>
                <w:lang w:val="ru-RU"/>
              </w:rPr>
              <w:t>Нарушения со стороны иммунной системы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lastRenderedPageBreak/>
              <w:t>Гиперчувствительность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Гипогаммаглобулинемия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редко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редко</w:t>
            </w:r>
          </w:p>
        </w:tc>
      </w:tr>
      <w:tr w:rsidR="00CE0511" w:rsidRPr="00924F12" w:rsidTr="000940E0">
        <w:tc>
          <w:tcPr>
            <w:tcW w:w="8957" w:type="dxa"/>
            <w:gridSpan w:val="4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  <w:lang w:val="ru-RU"/>
              </w:rPr>
            </w:pPr>
            <w:r w:rsidRPr="005A6418">
              <w:rPr>
                <w:b/>
                <w:spacing w:val="-4"/>
                <w:lang w:val="ru-RU"/>
              </w:rPr>
              <w:t>Нарушения со стороны печени и желчевыводящих путей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Повышение активности щелочной фосфатазы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Повышение активности лактатдегидрогеназы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Повышение активности печеночных ферментов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Гепатит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Гипербилирубинемия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Желтуха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924F12" w:rsidTr="000940E0">
        <w:tc>
          <w:tcPr>
            <w:tcW w:w="8957" w:type="dxa"/>
            <w:gridSpan w:val="4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  <w:lang w:val="ru-RU"/>
              </w:rPr>
            </w:pPr>
            <w:r w:rsidRPr="005A6418">
              <w:rPr>
                <w:b/>
                <w:spacing w:val="-4"/>
                <w:lang w:val="ru-RU"/>
              </w:rPr>
              <w:t>Нарушения со стороны кожи и подкожных тканей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Акне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Алопеция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Сыпь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Гипертрофия кожи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924F12" w:rsidTr="000940E0">
        <w:tc>
          <w:tcPr>
            <w:tcW w:w="8957" w:type="dxa"/>
            <w:gridSpan w:val="4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  <w:lang w:val="ru-RU"/>
              </w:rPr>
            </w:pPr>
            <w:r w:rsidRPr="005A6418">
              <w:rPr>
                <w:b/>
                <w:spacing w:val="-4"/>
                <w:lang w:val="ru-RU"/>
              </w:rPr>
              <w:t>Нарушения со стороны мышечной, скелетной и соединительной ткани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Артралгия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Мышечная слабость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924F12" w:rsidTr="000940E0">
        <w:tc>
          <w:tcPr>
            <w:tcW w:w="8957" w:type="dxa"/>
            <w:gridSpan w:val="4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  <w:lang w:val="ru-RU"/>
              </w:rPr>
            </w:pPr>
            <w:r w:rsidRPr="005A6418">
              <w:rPr>
                <w:b/>
                <w:spacing w:val="-4"/>
                <w:lang w:val="ru-RU"/>
              </w:rPr>
              <w:t>Нарушения со стороны почек и мочевыводящих путей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  <w:lang w:val="ru-RU"/>
              </w:rPr>
            </w:pPr>
            <w:r w:rsidRPr="005A6418">
              <w:rPr>
                <w:spacing w:val="-4"/>
                <w:lang w:val="ru-RU"/>
              </w:rPr>
              <w:t>Повышение уровня креатинина в крови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  <w:lang w:val="ru-RU"/>
              </w:rPr>
            </w:pPr>
            <w:r w:rsidRPr="005A6418">
              <w:rPr>
                <w:spacing w:val="-4"/>
                <w:lang w:val="ru-RU"/>
              </w:rPr>
              <w:t>Повышение уровня мочевины в крови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Гематурия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Нарушение функции почек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924F12" w:rsidTr="000940E0">
        <w:tc>
          <w:tcPr>
            <w:tcW w:w="8957" w:type="dxa"/>
            <w:gridSpan w:val="4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  <w:lang w:val="ru-RU"/>
              </w:rPr>
            </w:pPr>
            <w:r w:rsidRPr="005A6418">
              <w:rPr>
                <w:b/>
                <w:spacing w:val="-4"/>
                <w:lang w:val="ru-RU"/>
              </w:rPr>
              <w:t>Общие нарушения и реакции в месте введения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Астения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Озноб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Отек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Грыжа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Недомогание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Боль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Лихорадка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pacing w:val="-4"/>
              </w:rPr>
            </w:pPr>
            <w:r w:rsidRPr="005A6418">
              <w:rPr>
                <w:spacing w:val="-4"/>
              </w:rPr>
              <w:t>Очень часто</w:t>
            </w:r>
          </w:p>
        </w:tc>
      </w:tr>
      <w:tr w:rsidR="00CE0511" w:rsidRPr="005A6418" w:rsidTr="000940E0">
        <w:tc>
          <w:tcPr>
            <w:tcW w:w="3708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  <w:lang w:val="ru-RU"/>
              </w:rPr>
            </w:pPr>
            <w:r w:rsidRPr="005A6418">
              <w:rPr>
                <w:spacing w:val="-4"/>
                <w:lang w:val="ru-RU"/>
              </w:rPr>
              <w:t>Впервые возникший острый воспалительный синдром, связанный с ингибиторами синтеза пуринов</w:t>
            </w:r>
          </w:p>
        </w:tc>
        <w:tc>
          <w:tcPr>
            <w:tcW w:w="1701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713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  <w:tc>
          <w:tcPr>
            <w:tcW w:w="1835" w:type="dxa"/>
            <w:shd w:val="clear" w:color="auto" w:fill="auto"/>
          </w:tcPr>
          <w:p w:rsidR="00A65B4B" w:rsidRPr="005A6418" w:rsidRDefault="000C6871" w:rsidP="005A6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4"/>
              </w:rPr>
            </w:pPr>
            <w:r w:rsidRPr="005A6418">
              <w:rPr>
                <w:spacing w:val="-4"/>
              </w:rPr>
              <w:t>Нечасто</w:t>
            </w:r>
          </w:p>
        </w:tc>
      </w:tr>
    </w:tbl>
    <w:p w:rsidR="00A65B4B" w:rsidRPr="000940E0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spacing w:val="-4"/>
          <w:sz w:val="20"/>
          <w:szCs w:val="20"/>
          <w:lang w:val="ru-RU"/>
        </w:rPr>
      </w:pPr>
      <w:r w:rsidRPr="000940E0">
        <w:rPr>
          <w:spacing w:val="-4"/>
          <w:sz w:val="20"/>
          <w:szCs w:val="20"/>
          <w:lang w:val="ru-RU"/>
        </w:rPr>
        <w:t xml:space="preserve">Примечание: 991 пациентов (2 г/3 г препарата в сутки), 289 пациентов (3 г препарата в сутки) и 277 пациентов (2 г препарата внутривенно/3 г препарата перорально в сутки) получали терапию в ходе исследований </w:t>
      </w:r>
      <w:r w:rsidRPr="000940E0">
        <w:rPr>
          <w:spacing w:val="-4"/>
          <w:sz w:val="20"/>
          <w:szCs w:val="20"/>
        </w:rPr>
        <w:t>III</w:t>
      </w:r>
      <w:r w:rsidRPr="000940E0">
        <w:rPr>
          <w:spacing w:val="-4"/>
          <w:sz w:val="20"/>
          <w:szCs w:val="20"/>
          <w:lang w:val="ru-RU"/>
        </w:rPr>
        <w:t xml:space="preserve"> фазы для предотвращения отторжения почечного, сердечного и печеночного трансплантатов, соответственно.</w:t>
      </w:r>
    </w:p>
    <w:p w:rsidR="00A65B4B" w:rsidRPr="005A6418" w:rsidRDefault="00A65B4B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Описание отдельных нежелательных реакций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Злокачественные новообразования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Пациенты, получающие комбинированную иммуносупрессивную терапию, включая препарат </w:t>
      </w:r>
      <w:r w:rsidR="00052665" w:rsidRPr="00052665">
        <w:rPr>
          <w:bCs/>
          <w:caps/>
          <w:lang w:val="ru-RU"/>
        </w:rPr>
        <w:t>[</w:t>
      </w:r>
      <w:r w:rsidR="00052665" w:rsidRPr="00052665">
        <w:rPr>
          <w:bCs/>
          <w:caps/>
          <w:highlight w:val="lightGray"/>
          <w:lang w:val="ru-RU"/>
        </w:rPr>
        <w:t>ТОРГОВОЕ НАЗВАНИЕ</w:t>
      </w:r>
      <w:r w:rsidR="00052665" w:rsidRPr="00052665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, подвержены повышенному риску развития лимфом и других злокачественных новообразований, в частности, новообразований кожи (см. раздел 4.4). Трехлетние данные по безопасности у пациентов с почечным и сердечным трансплантатами не выявили каких-либо непредвиденных изменений частоты развития злокачественных новообразований по сравнению с данными за 1 год. После пересадки </w:t>
      </w:r>
      <w:r w:rsidRPr="005A6418">
        <w:rPr>
          <w:spacing w:val="-4"/>
          <w:lang w:val="ru-RU"/>
        </w:rPr>
        <w:lastRenderedPageBreak/>
        <w:t xml:space="preserve">печени пациенты находились под наблюдением как минимум в течение 1 года, но не менее 3 лет. 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Инфекции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Все пациенты, получающие иммуносупрессанты, подвержены повышенному риску развития бактериальных, вирусных и грибковых инфекций (некоторые из которых могут привести к летальному исходу), включая оппортунистические инфекции и латентную вирусную реактивацию. Риск возрастает с повышением степени иммуносупрессии (см. раздел 4.4). Наиболее серьезными инфекциями были сепсис, перитонит, менингит, эндокардит, туберкулез и атипичная микобактериальная инфекция. В контролируемых клинических исследованиях наиболее частыми оппортунистическими инфекциями у пациентов, получавших </w:t>
      </w:r>
      <w:r w:rsidR="00924F12" w:rsidRPr="005A6418">
        <w:rPr>
          <w:spacing w:val="-4"/>
          <w:lang w:val="ru-RU"/>
        </w:rPr>
        <w:t xml:space="preserve">микофенолата мофетила </w:t>
      </w:r>
      <w:r w:rsidRPr="005A6418">
        <w:rPr>
          <w:spacing w:val="-4"/>
          <w:lang w:val="ru-RU"/>
        </w:rPr>
        <w:t xml:space="preserve">(2 г или 3 г в сутки) в комбинации с другими иммуносупрессантами, наблюдавшимися в течение 1 года после трансплантации почки, сердца и печени, были инфекции, вызванные </w:t>
      </w:r>
      <w:r w:rsidRPr="005A6418">
        <w:rPr>
          <w:i/>
          <w:spacing w:val="-4"/>
        </w:rPr>
        <w:t>Candida</w:t>
      </w:r>
      <w:r w:rsidRPr="005A6418">
        <w:rPr>
          <w:i/>
          <w:spacing w:val="-4"/>
          <w:lang w:val="ru-RU"/>
        </w:rPr>
        <w:t xml:space="preserve"> </w:t>
      </w:r>
      <w:r w:rsidRPr="005A6418">
        <w:rPr>
          <w:i/>
          <w:spacing w:val="-4"/>
        </w:rPr>
        <w:t>mucocutaneous</w:t>
      </w:r>
      <w:r w:rsidRPr="005A6418">
        <w:rPr>
          <w:spacing w:val="-4"/>
          <w:lang w:val="ru-RU"/>
        </w:rPr>
        <w:t>, цитомегаловирусная (ЦМВ) виремия/ЦМВ синдром и вирус простого герпеса (</w:t>
      </w:r>
      <w:r w:rsidRPr="005A6418">
        <w:rPr>
          <w:i/>
          <w:spacing w:val="-4"/>
        </w:rPr>
        <w:t>Herpes</w:t>
      </w:r>
      <w:r w:rsidRPr="005A6418">
        <w:rPr>
          <w:i/>
          <w:spacing w:val="-4"/>
          <w:lang w:val="ru-RU"/>
        </w:rPr>
        <w:t xml:space="preserve"> </w:t>
      </w:r>
      <w:r w:rsidRPr="005A6418">
        <w:rPr>
          <w:i/>
          <w:spacing w:val="-4"/>
        </w:rPr>
        <w:t>simplex</w:t>
      </w:r>
      <w:r w:rsidRPr="005A6418">
        <w:rPr>
          <w:spacing w:val="-4"/>
          <w:lang w:val="ru-RU"/>
        </w:rPr>
        <w:t xml:space="preserve">). Доля пациентов с ЦМВ виремией/ЦМВ синдромом составила 13.5%. У пациентов, получавших иммуносупрессанты, включая </w:t>
      </w:r>
      <w:r w:rsidR="00924F12" w:rsidRPr="005A6418">
        <w:rPr>
          <w:spacing w:val="-4"/>
          <w:lang w:val="ru-RU"/>
        </w:rPr>
        <w:t>микофенолата мофетила</w:t>
      </w:r>
      <w:r w:rsidRPr="005A6418">
        <w:rPr>
          <w:spacing w:val="-4"/>
          <w:lang w:val="ru-RU"/>
        </w:rPr>
        <w:t xml:space="preserve">, отмечались случаи нефропатии, ассоциированной с </w:t>
      </w:r>
      <w:r w:rsidRPr="005A6418">
        <w:rPr>
          <w:spacing w:val="-4"/>
        </w:rPr>
        <w:t>BK</w:t>
      </w:r>
      <w:r w:rsidRPr="005A6418">
        <w:rPr>
          <w:spacing w:val="-4"/>
          <w:lang w:val="ru-RU"/>
        </w:rPr>
        <w:t xml:space="preserve">-вирусом, а также случаи прогрессирующей мультифокальной лейкоэнцефалопатии (ПМЛ), ассоциированной с </w:t>
      </w:r>
      <w:r w:rsidRPr="005A6418">
        <w:rPr>
          <w:spacing w:val="-4"/>
        </w:rPr>
        <w:t>JC</w:t>
      </w:r>
      <w:r w:rsidRPr="005A6418">
        <w:rPr>
          <w:spacing w:val="-4"/>
          <w:lang w:val="ru-RU"/>
        </w:rPr>
        <w:t>-вирусом.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Нарушения со стороны крови и лимфатической системы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Цитопении, включая лейкопению, анемию, тромбоцитопению и панцитопению, являются установленным риском, ассоциированным с применением микофенолата мофетила, и могут привести или способствовать развитию инфекций и кровотечений (см. раздел 4.4). Сообщалось о случаях агранулоцитоза и нейтропении; поэтому рекомендуется регулярное наблюдение за пациентами, получающими </w:t>
      </w:r>
      <w:r w:rsidR="00924F12" w:rsidRPr="005A6418">
        <w:rPr>
          <w:spacing w:val="-4"/>
          <w:lang w:val="ru-RU"/>
        </w:rPr>
        <w:t>микофенолата мофетила</w:t>
      </w:r>
      <w:r w:rsidRPr="005A6418">
        <w:rPr>
          <w:spacing w:val="-4"/>
          <w:lang w:val="ru-RU"/>
        </w:rPr>
        <w:t xml:space="preserve"> (см. раздел 4.4). Сообщалось о развитии апластической анемии и недостаточности костного мозга у пациентов, получавших терапию </w:t>
      </w:r>
      <w:r w:rsidR="00924F12" w:rsidRPr="005A6418">
        <w:rPr>
          <w:spacing w:val="-4"/>
          <w:lang w:val="ru-RU"/>
        </w:rPr>
        <w:t>микофенолата мофетила</w:t>
      </w:r>
      <w:r w:rsidRPr="005A6418">
        <w:rPr>
          <w:spacing w:val="-4"/>
          <w:lang w:val="ru-RU"/>
        </w:rPr>
        <w:t xml:space="preserve">, некоторые случаи оканчивались летальным исходом. У пациентов, получавших лечение </w:t>
      </w:r>
      <w:r w:rsidR="00924F12" w:rsidRPr="005A6418">
        <w:rPr>
          <w:spacing w:val="-4"/>
          <w:lang w:val="ru-RU"/>
        </w:rPr>
        <w:t>микофенолата мофетила</w:t>
      </w:r>
      <w:r w:rsidRPr="005A6418">
        <w:rPr>
          <w:spacing w:val="-4"/>
          <w:lang w:val="ru-RU"/>
        </w:rPr>
        <w:t xml:space="preserve">, отмечались случаи парциальной красноклеточной аплазии (ПККА) (см. раздел 4.4). 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У пациентов, получавших терапию </w:t>
      </w:r>
      <w:r w:rsidR="00924F12" w:rsidRPr="005A6418">
        <w:rPr>
          <w:spacing w:val="-4"/>
          <w:lang w:val="ru-RU"/>
        </w:rPr>
        <w:t>микофенолата мофетила</w:t>
      </w:r>
      <w:r w:rsidRPr="005A6418">
        <w:rPr>
          <w:spacing w:val="-4"/>
          <w:lang w:val="ru-RU"/>
        </w:rPr>
        <w:t>, наблюдал</w:t>
      </w:r>
      <w:r w:rsidR="008F67CC">
        <w:rPr>
          <w:spacing w:val="-4"/>
          <w:lang w:val="ru-RU"/>
        </w:rPr>
        <w:t>и</w:t>
      </w:r>
      <w:r w:rsidRPr="005A6418">
        <w:rPr>
          <w:spacing w:val="-4"/>
          <w:lang w:val="ru-RU"/>
        </w:rPr>
        <w:t xml:space="preserve">сь изолированные случаи аномалии нейтрофилов, включая приобретенную аномалию Пельгера-Хьюэта, не сопровождавшиеся нарушением функции нейтрофилов. Данные изменения могут свидетельствовать о сдвиге степени зрелости нейтрофилов влево в анализах крови, который может быть ошибочно интерпретирован как признак инфекции у пациентов с иммуносупрессией (у пациентов, получающих </w:t>
      </w:r>
      <w:r w:rsidR="00924F12" w:rsidRPr="005A6418">
        <w:rPr>
          <w:spacing w:val="-4"/>
          <w:lang w:val="ru-RU"/>
        </w:rPr>
        <w:t>микофенолата мофетила</w:t>
      </w:r>
      <w:r w:rsidRPr="005A6418">
        <w:rPr>
          <w:spacing w:val="-4"/>
          <w:lang w:val="ru-RU"/>
        </w:rPr>
        <w:t>).</w:t>
      </w:r>
      <w:r w:rsidRPr="005A6418">
        <w:rPr>
          <w:b/>
          <w:spacing w:val="-4"/>
          <w:lang w:val="ru-RU"/>
        </w:rPr>
        <w:t xml:space="preserve"> 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Желудочно-кишечные нарушения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Наиболее серьезными желудочно-кишечными нарушениями были язвы и кровотечения, которые являются установленными рисками, ассоциированными с применением микофенолата мофетила. В ходе базовых клинических исследований часто сообщалось о развитии язв в полости рта, пищевода, желудка, двенадцатиперстной кишки и кишечника, часто осложнявшихся кровотечением, а также о развитии гематемезиса, мелены и геморрагических форм гастрита и колита. Наиболее частыми желудочно-кишечными нарушениями были диарея, тошнота и рвота. По результатам эндоскопического исследования у пациентов с диареей, связанной с приемом </w:t>
      </w:r>
      <w:r w:rsidR="00924F12" w:rsidRPr="005A6418">
        <w:rPr>
          <w:spacing w:val="-4"/>
          <w:lang w:val="ru-RU"/>
        </w:rPr>
        <w:t>микофенолата мофетила</w:t>
      </w:r>
      <w:r w:rsidRPr="005A6418">
        <w:rPr>
          <w:spacing w:val="-4"/>
          <w:lang w:val="ru-RU"/>
        </w:rPr>
        <w:t>, выявлены единичные случаи атрофии кишечных ворсинок (см. раздел 4.4).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Гиперчувствительность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Сообщалось о развитии реакций гиперчувствительности, включая ангионевротический отек и анафилактическую реакцию.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Беременность, состояния послеродового и перинатального периодов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У пациенток, получавших микофенолата мофетил, зарегистрированы случаи самопроизвольного выкидыша, в основном в первом триместре беременности, см. раздел 4.6.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lastRenderedPageBreak/>
        <w:t>Врожденные пороки развития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В пострегистрационный период сообщалось о случаях врожденных пороков развития у детей пациенток, принимавших </w:t>
      </w:r>
      <w:r w:rsidR="00924F12" w:rsidRPr="005A6418">
        <w:rPr>
          <w:spacing w:val="-4"/>
          <w:lang w:val="ru-RU"/>
        </w:rPr>
        <w:t>микофенолата мофетила</w:t>
      </w:r>
      <w:r w:rsidRPr="005A6418">
        <w:rPr>
          <w:spacing w:val="-4"/>
          <w:lang w:val="ru-RU"/>
        </w:rPr>
        <w:t xml:space="preserve"> в комбинации с другими иммуносупрессантами в период беременности, см. раздел 6.6.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Нарушения со стороны дыхательной системы, органов грудной клетки и средостения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Зарегистрированы отдельные сообщения об интерстициальной болезни легких и легочном фиброзе у пациентов, получавших </w:t>
      </w:r>
      <w:r w:rsidR="00924F12" w:rsidRPr="005A6418">
        <w:rPr>
          <w:spacing w:val="-4"/>
          <w:lang w:val="ru-RU"/>
        </w:rPr>
        <w:t xml:space="preserve">микофенолата мофетила </w:t>
      </w:r>
      <w:r w:rsidRPr="005A6418">
        <w:rPr>
          <w:spacing w:val="-4"/>
          <w:lang w:val="ru-RU"/>
        </w:rPr>
        <w:t>в комбинации с другими иммуносупрессантами, некоторые из этих случаев закончились летальным исходом. Также сообщалось о бронхоэктазии у детей и взрослых.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Нарушения со стороны иммунной системы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Сообщалось о случаях развития гипогаммаглобулинемии у пациентов, получавших </w:t>
      </w:r>
      <w:r w:rsidR="00924F12" w:rsidRPr="005A6418">
        <w:rPr>
          <w:spacing w:val="-4"/>
          <w:lang w:val="ru-RU"/>
        </w:rPr>
        <w:t xml:space="preserve">микофенолата мофетила </w:t>
      </w:r>
      <w:r w:rsidRPr="005A6418">
        <w:rPr>
          <w:spacing w:val="-4"/>
          <w:lang w:val="ru-RU"/>
        </w:rPr>
        <w:t>в комбинации с другими иммуносупрессантами.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Общие нарушения и реакции в месте введения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В ходе базовых клинических исследований очень часто сообщалось о развитии отеков, включая периферический отек, отеки лица и мошонки. Также очень часто сообщалось о скелетно-мышечной боли в виде миалгии, болей в шее и спине.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В постмаркетинговый период был описан впервые возникший острый воспалительный синдром, связанный с ингибиторами синтеза пуринов. Данный синдром описывался как парадоксальная провоспалительная реакция, вызванная микофенолатом мофетилом и микофеноловой кислотой. Указанная реакция характеризуется лихорадкой, артралгией, артритом, мышечной болью и повышением уровня воспалительных маркеров. Согласно литературным отчетам после прекращения применения препарата отмечается быстрое улучшение состояния.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u w:val="single"/>
          <w:lang w:val="ru-RU"/>
        </w:rPr>
      </w:pPr>
      <w:r w:rsidRPr="005A6418">
        <w:rPr>
          <w:i/>
          <w:spacing w:val="-4"/>
          <w:u w:val="single"/>
          <w:lang w:val="ru-RU"/>
        </w:rPr>
        <w:t>Особые группы пациентов</w:t>
      </w:r>
    </w:p>
    <w:p w:rsidR="00A65B4B" w:rsidRPr="005A6418" w:rsidRDefault="000C6871" w:rsidP="005A6418">
      <w:pPr>
        <w:ind w:right="127"/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Пациенты пожилого возраста</w:t>
      </w:r>
    </w:p>
    <w:p w:rsidR="00A65B4B" w:rsidRPr="005A6418" w:rsidRDefault="000C6871" w:rsidP="005A6418">
      <w:pPr>
        <w:ind w:right="127"/>
        <w:jc w:val="both"/>
        <w:rPr>
          <w:i/>
          <w:spacing w:val="-4"/>
          <w:u w:val="single"/>
          <w:lang w:val="ru-RU"/>
        </w:rPr>
      </w:pPr>
      <w:r w:rsidRPr="005A6418">
        <w:rPr>
          <w:rFonts w:eastAsia="Gungsuh"/>
          <w:spacing w:val="-4"/>
          <w:lang w:val="ru-RU"/>
        </w:rPr>
        <w:t xml:space="preserve">Пациенты пожилого возраста (≥65 лет) могут быть подвержены повышенному риску развития нежелательных реакций вследствие иммуносупрессии. Пациенты пожилого возраста, получающие препарат </w:t>
      </w:r>
      <w:r w:rsidR="00F80C55" w:rsidRPr="00F80C55">
        <w:rPr>
          <w:bCs/>
          <w:caps/>
          <w:lang w:val="ru-RU"/>
        </w:rPr>
        <w:t>[</w:t>
      </w:r>
      <w:r w:rsidR="00F80C55" w:rsidRPr="00F80C55">
        <w:rPr>
          <w:bCs/>
          <w:caps/>
          <w:highlight w:val="lightGray"/>
          <w:lang w:val="ru-RU"/>
        </w:rPr>
        <w:t>ТОРГОВОЕ НАЗВАНИЕ</w:t>
      </w:r>
      <w:r w:rsidR="00F80C55" w:rsidRPr="00F80C55">
        <w:rPr>
          <w:bCs/>
          <w:caps/>
          <w:lang w:val="ru-RU"/>
        </w:rPr>
        <w:t>]</w:t>
      </w:r>
      <w:r w:rsidRPr="005A6418">
        <w:rPr>
          <w:rFonts w:eastAsia="Gungsuh"/>
          <w:spacing w:val="-4"/>
          <w:lang w:val="ru-RU"/>
        </w:rPr>
        <w:t xml:space="preserve"> в рамках комбинированной иммуносупрессивной терапии могут быть подвержены повышенному риску развития некоторых инфекций (включая тканевую инвазивную форму манифестной цитомегаловирусной инфекции) и, возможно, желудочно-кишечных кровотечений и отека легких по сравнению с пациентами более молодого возраста.</w:t>
      </w:r>
    </w:p>
    <w:p w:rsidR="000940E0" w:rsidRDefault="000940E0" w:rsidP="005A6418">
      <w:pPr>
        <w:jc w:val="both"/>
        <w:rPr>
          <w:b/>
          <w:spacing w:val="-4"/>
          <w:lang w:val="ru-RU"/>
        </w:rPr>
      </w:pPr>
    </w:p>
    <w:p w:rsidR="000940E0" w:rsidRDefault="000C6871" w:rsidP="000940E0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Сообщение о подозреваемых нежелательных реакциях</w:t>
      </w:r>
    </w:p>
    <w:p w:rsidR="000940E0" w:rsidRDefault="000C6871" w:rsidP="000940E0">
      <w:pPr>
        <w:jc w:val="both"/>
        <w:rPr>
          <w:b/>
          <w:spacing w:val="-4"/>
          <w:lang w:val="ru-RU"/>
        </w:rPr>
      </w:pPr>
      <w:r w:rsidRPr="005A6418">
        <w:rPr>
          <w:spacing w:val="-4"/>
          <w:lang w:val="ru-RU"/>
        </w:rPr>
        <w:t xml:space="preserve">Важно сообщать о подозреваемых нежелательных реакциях после регистрации ЛП с целью обеспечения непрерывного мониторинга соотношения «польза – риск» ЛП.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</w:t>
      </w:r>
    </w:p>
    <w:p w:rsidR="000940E0" w:rsidRDefault="00525D65" w:rsidP="000940E0">
      <w:pPr>
        <w:jc w:val="both"/>
        <w:rPr>
          <w:b/>
          <w:spacing w:val="-4"/>
          <w:lang w:val="ru-RU"/>
        </w:rPr>
      </w:pPr>
      <w:r w:rsidRPr="005A6418">
        <w:rPr>
          <w:spacing w:val="-4"/>
          <w:lang w:val="ru-RU"/>
        </w:rPr>
        <w:t>РГП на ПХВ «Национальный ц</w:t>
      </w:r>
      <w:r w:rsidR="000C6871" w:rsidRPr="005A6418">
        <w:rPr>
          <w:spacing w:val="-4"/>
          <w:lang w:val="ru-RU"/>
        </w:rPr>
        <w:t>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</w:t>
      </w:r>
    </w:p>
    <w:p w:rsidR="00A65B4B" w:rsidRPr="000940E0" w:rsidRDefault="008E5D0F" w:rsidP="000940E0">
      <w:pPr>
        <w:jc w:val="both"/>
        <w:rPr>
          <w:b/>
          <w:spacing w:val="-4"/>
          <w:lang w:val="ru-RU"/>
        </w:rPr>
      </w:pPr>
      <w:hyperlink r:id="rId10">
        <w:r w:rsidR="000C6871" w:rsidRPr="005A6418">
          <w:rPr>
            <w:spacing w:val="-4"/>
          </w:rPr>
          <w:t>http</w:t>
        </w:r>
        <w:r w:rsidR="000C6871" w:rsidRPr="005A6418">
          <w:rPr>
            <w:spacing w:val="-4"/>
            <w:lang w:val="ru-RU"/>
          </w:rPr>
          <w:t>://</w:t>
        </w:r>
        <w:r w:rsidR="000C6871" w:rsidRPr="005A6418">
          <w:rPr>
            <w:spacing w:val="-4"/>
          </w:rPr>
          <w:t>www</w:t>
        </w:r>
        <w:r w:rsidR="000C6871" w:rsidRPr="005A6418">
          <w:rPr>
            <w:spacing w:val="-4"/>
            <w:lang w:val="ru-RU"/>
          </w:rPr>
          <w:t>.</w:t>
        </w:r>
        <w:r w:rsidR="000C6871" w:rsidRPr="005A6418">
          <w:rPr>
            <w:spacing w:val="-4"/>
          </w:rPr>
          <w:t>ndda</w:t>
        </w:r>
        <w:r w:rsidR="000C6871" w:rsidRPr="005A6418">
          <w:rPr>
            <w:spacing w:val="-4"/>
            <w:lang w:val="ru-RU"/>
          </w:rPr>
          <w:t>.</w:t>
        </w:r>
        <w:r w:rsidR="000C6871" w:rsidRPr="005A6418">
          <w:rPr>
            <w:spacing w:val="-4"/>
          </w:rPr>
          <w:t>kz</w:t>
        </w:r>
      </w:hyperlink>
    </w:p>
    <w:p w:rsidR="00A65B4B" w:rsidRPr="005A6418" w:rsidRDefault="00A65B4B" w:rsidP="005A6418">
      <w:pPr>
        <w:jc w:val="both"/>
        <w:rPr>
          <w:spacing w:val="-4"/>
          <w:lang w:val="ru-RU"/>
        </w:rPr>
      </w:pP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4.9</w:t>
      </w:r>
      <w:r w:rsidR="000940E0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Передозировка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Сообщения о передозировке микофенолата мофетилом были получены в ходе клинических исследований и в период пострегистрационного применения. В большинстве случаев нежелательных явлений не зарегистрировано. Наблюдавшиеся при передозировке нежелательные реакции совпадали с известным профилем безопасности препарата. 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Ожидается, что передозировка микофенолата мофетилом может привести к чрезмерной иммуносупрессии и повышению восприимчивости к инфекциям, а также к подавлению функции костного мозга (см. раздел 4.4). В случае развития нейтропении необходимо </w:t>
      </w:r>
      <w:r w:rsidRPr="005A6418">
        <w:rPr>
          <w:spacing w:val="-4"/>
          <w:lang w:val="ru-RU"/>
        </w:rPr>
        <w:lastRenderedPageBreak/>
        <w:t xml:space="preserve">прервать лечение препаратом </w:t>
      </w:r>
      <w:r w:rsidR="00F80C55" w:rsidRPr="00466A1B">
        <w:rPr>
          <w:bCs/>
          <w:caps/>
          <w:lang w:val="ru-RU"/>
        </w:rPr>
        <w:t>[</w:t>
      </w:r>
      <w:r w:rsidR="00F80C55" w:rsidRPr="00466A1B">
        <w:rPr>
          <w:bCs/>
          <w:caps/>
          <w:highlight w:val="lightGray"/>
          <w:lang w:val="ru-RU"/>
        </w:rPr>
        <w:t>ТОРГОВОЕ НАЗВАНИЕ</w:t>
      </w:r>
      <w:r w:rsidR="00F80C55" w:rsidRPr="00466A1B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или уменьшить дозу (см. раздел 4.4). 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Возможность выведения клинически значимых уровней МФК или МФКГ с помощью гемодиализа маловероятна. Секвестранты жёлчных кислот, такие как, холестирамин, снижая энтерогепатическую рециркуляцию препарата, могут выводить МФК (см. раздел 5.2).</w:t>
      </w:r>
    </w:p>
    <w:p w:rsidR="00A65B4B" w:rsidRPr="005A6418" w:rsidRDefault="00A65B4B" w:rsidP="005A6418">
      <w:pPr>
        <w:jc w:val="both"/>
        <w:rPr>
          <w:spacing w:val="-4"/>
          <w:lang w:val="ru-RU"/>
        </w:rPr>
      </w:pP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5.</w:t>
      </w:r>
      <w:r w:rsidR="000940E0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ФАРМАКОЛОГИЧЕСКИЕ СВОЙСТВА</w:t>
      </w: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5.1</w:t>
      </w:r>
      <w:r w:rsidR="000940E0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Фармакодинамические свойства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Фармакотерапевтическая группа: Иммуносупрессанты. Иммуносупрессанты селективные. Микофеноловая кислота.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Код АТХ </w:t>
      </w:r>
      <w:r w:rsidRPr="005A6418">
        <w:rPr>
          <w:spacing w:val="-4"/>
        </w:rPr>
        <w:t>L</w:t>
      </w:r>
      <w:r w:rsidRPr="005A6418">
        <w:rPr>
          <w:spacing w:val="-4"/>
          <w:lang w:val="ru-RU"/>
        </w:rPr>
        <w:t>04</w:t>
      </w:r>
      <w:r w:rsidRPr="005A6418">
        <w:rPr>
          <w:spacing w:val="-4"/>
        </w:rPr>
        <w:t>AA</w:t>
      </w:r>
      <w:r w:rsidRPr="005A6418">
        <w:rPr>
          <w:spacing w:val="-4"/>
          <w:lang w:val="ru-RU"/>
        </w:rPr>
        <w:t>06</w:t>
      </w:r>
    </w:p>
    <w:p w:rsidR="00A65B4B" w:rsidRPr="005A6418" w:rsidRDefault="00A65B4B" w:rsidP="005A6418">
      <w:pPr>
        <w:jc w:val="both"/>
        <w:rPr>
          <w:spacing w:val="-4"/>
          <w:u w:val="single"/>
          <w:lang w:val="ru-RU"/>
        </w:rPr>
      </w:pPr>
    </w:p>
    <w:p w:rsidR="00A65B4B" w:rsidRPr="000940E0" w:rsidRDefault="000C6871" w:rsidP="005A6418">
      <w:pPr>
        <w:jc w:val="both"/>
        <w:rPr>
          <w:i/>
          <w:spacing w:val="-4"/>
          <w:lang w:val="ru-RU"/>
        </w:rPr>
      </w:pPr>
      <w:r w:rsidRPr="000940E0">
        <w:rPr>
          <w:i/>
          <w:spacing w:val="-4"/>
          <w:lang w:val="ru-RU"/>
        </w:rPr>
        <w:t>Механизм действия</w:t>
      </w:r>
    </w:p>
    <w:p w:rsidR="00A65B4B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Микофенолата мофетил представляет собой 2-морфолиноэтиловый эфир микофеноловой кислоты (МФК). МФК </w:t>
      </w:r>
      <w:r w:rsidRPr="005A6418">
        <w:rPr>
          <w:rFonts w:eastAsia="Symbol"/>
          <w:spacing w:val="-4"/>
          <w:lang w:val="ru-RU"/>
        </w:rPr>
        <w:t>−</w:t>
      </w:r>
      <w:r w:rsidRPr="005A6418">
        <w:rPr>
          <w:spacing w:val="-4"/>
          <w:lang w:val="ru-RU"/>
        </w:rPr>
        <w:t xml:space="preserve"> мощный селективный неконкурентный и обратимый ингибитор инозинмонофосфатдегидрогеназы (ИМФДГ), который подавляет синтез гуанозиновых нуклеотидов </w:t>
      </w:r>
      <w:r w:rsidRPr="005A6418">
        <w:rPr>
          <w:i/>
          <w:spacing w:val="-4"/>
        </w:rPr>
        <w:t>de</w:t>
      </w:r>
      <w:r w:rsidRPr="005A6418">
        <w:rPr>
          <w:i/>
          <w:spacing w:val="-4"/>
          <w:lang w:val="ru-RU"/>
        </w:rPr>
        <w:t xml:space="preserve"> </w:t>
      </w:r>
      <w:r w:rsidRPr="005A6418">
        <w:rPr>
          <w:i/>
          <w:spacing w:val="-4"/>
        </w:rPr>
        <w:t>novo</w:t>
      </w:r>
      <w:r w:rsidRPr="005A6418">
        <w:rPr>
          <w:spacing w:val="-4"/>
          <w:lang w:val="ru-RU"/>
        </w:rPr>
        <w:t xml:space="preserve">, без встраивания в структуру ДНК. МФК оказывает более выраженное цитостатическое действие на лимфоциты, чем на другие клетки, поскольку пролиферация Т- и В-лимфоцитов очень сильно зависит от синтеза пуринов </w:t>
      </w:r>
      <w:r w:rsidRPr="005A6418">
        <w:rPr>
          <w:i/>
          <w:spacing w:val="-4"/>
        </w:rPr>
        <w:t>de</w:t>
      </w:r>
      <w:r w:rsidRPr="005A6418">
        <w:rPr>
          <w:i/>
          <w:spacing w:val="-4"/>
          <w:lang w:val="ru-RU"/>
        </w:rPr>
        <w:t xml:space="preserve"> </w:t>
      </w:r>
      <w:r w:rsidRPr="005A6418">
        <w:rPr>
          <w:i/>
          <w:spacing w:val="-4"/>
        </w:rPr>
        <w:t>novo</w:t>
      </w:r>
      <w:r w:rsidRPr="005A6418">
        <w:rPr>
          <w:spacing w:val="-4"/>
          <w:lang w:val="ru-RU"/>
        </w:rPr>
        <w:t>, в то время как клетки других типов могут переходить на «реутилизационные» пути метаболизма.</w:t>
      </w:r>
    </w:p>
    <w:p w:rsidR="000940E0" w:rsidRPr="005A6418" w:rsidRDefault="000940E0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</w:p>
    <w:p w:rsidR="00A65B4B" w:rsidRPr="000940E0" w:rsidRDefault="000C6871" w:rsidP="005A6418">
      <w:pPr>
        <w:jc w:val="both"/>
        <w:rPr>
          <w:b/>
          <w:spacing w:val="-4"/>
          <w:lang w:val="ru-RU"/>
        </w:rPr>
      </w:pPr>
      <w:r w:rsidRPr="000940E0">
        <w:rPr>
          <w:b/>
          <w:spacing w:val="-4"/>
          <w:lang w:val="ru-RU"/>
        </w:rPr>
        <w:t>5.2</w:t>
      </w:r>
      <w:r w:rsidRPr="000940E0">
        <w:rPr>
          <w:b/>
          <w:spacing w:val="-4"/>
        </w:rPr>
        <w:t> </w:t>
      </w:r>
      <w:r w:rsidRPr="000940E0">
        <w:rPr>
          <w:b/>
          <w:spacing w:val="-4"/>
          <w:lang w:val="ru-RU"/>
        </w:rPr>
        <w:t>Фармакокинетические свойства</w:t>
      </w:r>
    </w:p>
    <w:p w:rsidR="00A65B4B" w:rsidRPr="000940E0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0940E0">
        <w:rPr>
          <w:i/>
          <w:spacing w:val="-4"/>
          <w:lang w:val="ru-RU"/>
        </w:rPr>
        <w:t>Абсорбция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После перорального приема происходит быстрое и полное всасывание и полный пресистемный метаболизм микофенолата мофетила с образованием активного метаболита – микофеноловой кислоты (МФК). Как свидетельствуют показатели подавления острого отторжения после трансплантации почки, действие </w:t>
      </w:r>
      <w:r w:rsidR="00924F12" w:rsidRPr="005A6418">
        <w:rPr>
          <w:spacing w:val="-4"/>
          <w:lang w:val="ru-RU"/>
        </w:rPr>
        <w:t>микофенолата мофетила</w:t>
      </w:r>
      <w:r w:rsidR="00924F12" w:rsidRPr="00924F12">
        <w:rPr>
          <w:bCs/>
          <w:caps/>
          <w:lang w:val="ru-RU"/>
        </w:rPr>
        <w:t xml:space="preserve"> </w:t>
      </w:r>
      <w:r w:rsidRPr="005A6418">
        <w:rPr>
          <w:spacing w:val="-4"/>
          <w:lang w:val="ru-RU"/>
        </w:rPr>
        <w:t>в качестве иммуносупрессанта коррелирует с концентрацией МФК. Биодоступность микофенолата мофетила при пероральном приеме, в соответствии с величиной площади под кривой «концентрация – время» (</w:t>
      </w:r>
      <w:r w:rsidRPr="005A6418">
        <w:rPr>
          <w:spacing w:val="-4"/>
        </w:rPr>
        <w:t>AUC</w:t>
      </w:r>
      <w:r w:rsidRPr="005A6418">
        <w:rPr>
          <w:spacing w:val="-4"/>
          <w:lang w:val="ru-RU"/>
        </w:rPr>
        <w:t xml:space="preserve"> МФК), составляет, в среднем, 94% от таковой при его внутривенном введении. Прием пищи на степень абсорбции микофенолата мофетила (</w:t>
      </w:r>
      <w:r w:rsidRPr="005A6418">
        <w:rPr>
          <w:spacing w:val="-4"/>
        </w:rPr>
        <w:t>AUC</w:t>
      </w:r>
      <w:r w:rsidRPr="005A6418">
        <w:rPr>
          <w:spacing w:val="-4"/>
          <w:lang w:val="ru-RU"/>
        </w:rPr>
        <w:t xml:space="preserve"> МФК) в дозе 1.5 г два раза в сутки у пациентов после трансплантации почки не влияет. Однако, С</w:t>
      </w:r>
      <w:r w:rsidRPr="005A6418">
        <w:rPr>
          <w:spacing w:val="-4"/>
          <w:vertAlign w:val="subscript"/>
        </w:rPr>
        <w:t>max</w:t>
      </w:r>
      <w:r w:rsidRPr="005A6418">
        <w:rPr>
          <w:spacing w:val="-4"/>
          <w:lang w:val="ru-RU"/>
        </w:rPr>
        <w:t xml:space="preserve"> МФК при приеме препарата во время еды снижается на 40%. 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После перорального приема концентрации микофенолата мофетила в плазме не определяются.</w:t>
      </w:r>
    </w:p>
    <w:p w:rsidR="00A65B4B" w:rsidRPr="000940E0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0940E0">
        <w:rPr>
          <w:i/>
          <w:spacing w:val="-4"/>
          <w:lang w:val="ru-RU"/>
        </w:rPr>
        <w:t>Распределение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Как правило, примерно через 6</w:t>
      </w:r>
      <w:r w:rsidRPr="005A6418">
        <w:rPr>
          <w:rFonts w:eastAsia="Gungsuh"/>
          <w:spacing w:val="-4"/>
          <w:lang w:val="ru-RU"/>
        </w:rPr>
        <w:t xml:space="preserve">−12 часов после приема препарата наблюдается вторичное повышение концентрации МФК в плазме, что свидетельствует о энтерогепатической рециркуляции препарата. При одновременном применении холестирамина (4 г три раза в сутки) значение </w:t>
      </w:r>
      <w:r w:rsidRPr="005A6418">
        <w:rPr>
          <w:rFonts w:eastAsia="Gungsuh"/>
          <w:spacing w:val="-4"/>
        </w:rPr>
        <w:t>AUC</w:t>
      </w:r>
      <w:r w:rsidRPr="005A6418">
        <w:rPr>
          <w:rFonts w:eastAsia="Gungsuh"/>
          <w:spacing w:val="-4"/>
          <w:lang w:val="ru-RU"/>
        </w:rPr>
        <w:t xml:space="preserve"> МФК</w:t>
      </w:r>
      <w:r w:rsidRPr="005A6418">
        <w:rPr>
          <w:spacing w:val="-4"/>
          <w:vertAlign w:val="subscript"/>
          <w:lang w:val="ru-RU"/>
        </w:rPr>
        <w:t xml:space="preserve"> </w:t>
      </w:r>
      <w:r w:rsidRPr="005A6418">
        <w:rPr>
          <w:spacing w:val="-4"/>
          <w:lang w:val="ru-RU"/>
        </w:rPr>
        <w:t>снижается примерно на 40%, что свидетельствует о прерывании энтерогепатической рециркуляции. В клинически значимых концентрациях МФК на 97% связывается с альбумином плазмы.</w:t>
      </w:r>
    </w:p>
    <w:p w:rsidR="00A65B4B" w:rsidRPr="000940E0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0940E0">
        <w:rPr>
          <w:i/>
          <w:spacing w:val="-4"/>
          <w:lang w:val="ru-RU"/>
        </w:rPr>
        <w:t>Биотрансформация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МФК метаболизируется преимущественно под действием глюкуронилтрансферазы (изоформа </w:t>
      </w:r>
      <w:r w:rsidRPr="005A6418">
        <w:rPr>
          <w:spacing w:val="-4"/>
        </w:rPr>
        <w:t>UGT</w:t>
      </w:r>
      <w:r w:rsidRPr="005A6418">
        <w:rPr>
          <w:spacing w:val="-4"/>
          <w:lang w:val="ru-RU"/>
        </w:rPr>
        <w:t>1</w:t>
      </w:r>
      <w:r w:rsidRPr="005A6418">
        <w:rPr>
          <w:spacing w:val="-4"/>
        </w:rPr>
        <w:t>A</w:t>
      </w:r>
      <w:r w:rsidRPr="005A6418">
        <w:rPr>
          <w:spacing w:val="-4"/>
          <w:lang w:val="ru-RU"/>
        </w:rPr>
        <w:t xml:space="preserve">9) с образованием фармакологически неактивного фенольного глюкуронида МФК (МФКГ). </w:t>
      </w:r>
      <w:r w:rsidRPr="005A6418">
        <w:rPr>
          <w:i/>
          <w:spacing w:val="-4"/>
        </w:rPr>
        <w:t>In</w:t>
      </w:r>
      <w:r w:rsidRPr="005A6418">
        <w:rPr>
          <w:i/>
          <w:spacing w:val="-4"/>
          <w:lang w:val="ru-RU"/>
        </w:rPr>
        <w:t xml:space="preserve"> </w:t>
      </w:r>
      <w:r w:rsidRPr="005A6418">
        <w:rPr>
          <w:i/>
          <w:spacing w:val="-4"/>
        </w:rPr>
        <w:t>vivo</w:t>
      </w:r>
      <w:r w:rsidRPr="005A6418">
        <w:rPr>
          <w:spacing w:val="-4"/>
          <w:lang w:val="ru-RU"/>
        </w:rPr>
        <w:t xml:space="preserve"> МФКГ в ходе энтерогепатической рециркуляции превращается в свободную МФК. Также образуется второстепенный ацилглюкуронид. Ацилглюкуронид обладает фармакологической активностью и, предположительно, обусловливает некоторые из побочных эффектов микофенолата мофетила (диарея, лейкопения).</w:t>
      </w:r>
    </w:p>
    <w:p w:rsidR="00A65B4B" w:rsidRPr="000940E0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0940E0">
        <w:rPr>
          <w:i/>
          <w:spacing w:val="-4"/>
          <w:lang w:val="ru-RU"/>
        </w:rPr>
        <w:lastRenderedPageBreak/>
        <w:t>Элиминация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Незначительные количества препарата (&lt;1% дозы) выводятся с мочой в виде МФК. После перорального приема радиоактивно меченного микофенолата мофетила 93% полученной дозы выводится с мочой, а 6% - с калом. Большая часть (около 87%) введенной дозы выводится с мочой в виде МФКГ.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Клинически определяемые концентрации МФК и МФКГ при гемодиализе не удаляются. Однако при высоких концентрациях МФКГ (&gt;100 мкг/мл) некоторая его часть удаляется. Секвестранты жёлчных кислот, такие как, холестирамин, снижают </w:t>
      </w:r>
      <w:r w:rsidRPr="005A6418">
        <w:rPr>
          <w:spacing w:val="-4"/>
        </w:rPr>
        <w:t>AUC</w:t>
      </w:r>
      <w:r w:rsidRPr="005A6418">
        <w:rPr>
          <w:spacing w:val="-4"/>
          <w:lang w:val="ru-RU"/>
        </w:rPr>
        <w:t xml:space="preserve"> МФК, прерывая энтерогепатическую рециркуляцию (см. раздел 4.9). 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Распределение МФК зависит от нескольких транспортных соединений. Транспортный полипептид органических анионов (ТПОА) и белок 2, ассоциированный с множественной лекарственной устойчивостью (БАМЛУ2) участвуют в распределении МФК; изоформы ТПОА, БАМЛУ2 и белок резистентности рака молочной железы (БРРМЖ) являются транспортными соединениями, связанными экскрецией желчи глюкуронидами. Белок 1, ассоциированный с множественной лекарственной устойчивостью (БАМЛУ1), также способен транспортировать МФК, однако его действие, по всей видимости, ограничивается процессом абсорбции. В почке МФК и его метаболиты потенциально взаимодействуют с почечными транспортными полипептидами органических анионов.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В раннем посттрансплантационном периоде (&lt;40 дней после пересадки почки, сердца и печени) средние величины </w:t>
      </w:r>
      <w:r w:rsidRPr="005A6418">
        <w:rPr>
          <w:spacing w:val="-4"/>
        </w:rPr>
        <w:t>AUC</w:t>
      </w:r>
      <w:r w:rsidRPr="005A6418">
        <w:rPr>
          <w:spacing w:val="-4"/>
          <w:lang w:val="ru-RU"/>
        </w:rPr>
        <w:t xml:space="preserve"> МФК были примерно на 30% ниже, а </w:t>
      </w:r>
      <w:r w:rsidRPr="005A6418">
        <w:rPr>
          <w:spacing w:val="-4"/>
        </w:rPr>
        <w:t>C</w:t>
      </w:r>
      <w:r w:rsidRPr="005A6418">
        <w:rPr>
          <w:spacing w:val="-4"/>
          <w:vertAlign w:val="subscript"/>
        </w:rPr>
        <w:t>max</w:t>
      </w:r>
      <w:r w:rsidRPr="005A6418">
        <w:rPr>
          <w:spacing w:val="-4"/>
          <w:lang w:val="ru-RU"/>
        </w:rPr>
        <w:t xml:space="preserve"> – примерно на 40% ниже, чем в позднем посттрансплантационном периоде (3-6 месяцев после пересадки).</w:t>
      </w:r>
    </w:p>
    <w:p w:rsidR="00A65B4B" w:rsidRPr="000940E0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0940E0">
        <w:rPr>
          <w:i/>
          <w:spacing w:val="-4"/>
          <w:lang w:val="ru-RU"/>
        </w:rPr>
        <w:t>Особые группы пациентов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Пациенты с нарушением функции почек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В исследовании применения однократной дозы (по 6 пациентов/группа) у пациентов с тяжелой степенью хронической почечной недостаточности (скорость клубочковой фильтрации &lt;25 мл/мин/1.73 м</w:t>
      </w:r>
      <w:r w:rsidRPr="005A6418">
        <w:rPr>
          <w:spacing w:val="-4"/>
          <w:vertAlign w:val="superscript"/>
          <w:lang w:val="ru-RU"/>
        </w:rPr>
        <w:t>2</w:t>
      </w:r>
      <w:r w:rsidRPr="005A6418">
        <w:rPr>
          <w:spacing w:val="-4"/>
          <w:lang w:val="ru-RU"/>
        </w:rPr>
        <w:t xml:space="preserve">) средняя величина </w:t>
      </w:r>
      <w:r w:rsidRPr="005A6418">
        <w:rPr>
          <w:spacing w:val="-4"/>
        </w:rPr>
        <w:t>AUC</w:t>
      </w:r>
      <w:r w:rsidRPr="005A6418">
        <w:rPr>
          <w:spacing w:val="-4"/>
          <w:lang w:val="ru-RU"/>
        </w:rPr>
        <w:t xml:space="preserve"> МФК в плазме была на 28</w:t>
      </w:r>
      <w:r w:rsidRPr="005A6418">
        <w:rPr>
          <w:rFonts w:eastAsia="Symbol"/>
          <w:spacing w:val="-4"/>
          <w:lang w:val="ru-RU"/>
        </w:rPr>
        <w:t>−</w:t>
      </w:r>
      <w:r w:rsidRPr="005A6418">
        <w:rPr>
          <w:spacing w:val="-4"/>
          <w:lang w:val="ru-RU"/>
        </w:rPr>
        <w:t xml:space="preserve">75% выше, чем у здоровых добровольцев или у пациентов с более легкой степенью нарушения функции почек. После приема однократной дозы средняя величина </w:t>
      </w:r>
      <w:r w:rsidRPr="005A6418">
        <w:rPr>
          <w:spacing w:val="-4"/>
        </w:rPr>
        <w:t>AUC</w:t>
      </w:r>
      <w:r w:rsidRPr="005A6418">
        <w:rPr>
          <w:spacing w:val="-4"/>
          <w:lang w:val="ru-RU"/>
        </w:rPr>
        <w:t xml:space="preserve"> МФКГ была в 3</w:t>
      </w:r>
      <w:r w:rsidRPr="005A6418">
        <w:rPr>
          <w:rFonts w:eastAsia="Symbol"/>
          <w:spacing w:val="-4"/>
          <w:lang w:val="ru-RU"/>
        </w:rPr>
        <w:t>−</w:t>
      </w:r>
      <w:r w:rsidRPr="005A6418">
        <w:rPr>
          <w:spacing w:val="-4"/>
          <w:lang w:val="ru-RU"/>
        </w:rPr>
        <w:t>6 раз выше у пациентов с тяжелой почечной недостаточностью, чем у пациентов с нарушением функции почек умеренной степени или у здоровых добровольцев, что согласуется с известными данными о выведении МФКГ почками. Применение многократных доз микофенолата мофетила у пациентов с тяжелой степенью хронической почечной недостаточности не изучалось. Данные в отношении пациентов с тяжелой степенью хронической почечной недостаточности после трансплантации сердца или печени отсутствуют.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Отсроченная функция почечного трансплантата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У пациентов с задержкой восстановления функции почечного трансплантата средняя величина </w:t>
      </w:r>
      <w:r w:rsidRPr="005A6418">
        <w:rPr>
          <w:spacing w:val="-4"/>
        </w:rPr>
        <w:t>AUC</w:t>
      </w:r>
      <w:r w:rsidRPr="005A6418">
        <w:rPr>
          <w:spacing w:val="-4"/>
          <w:vertAlign w:val="subscript"/>
          <w:lang w:val="ru-RU"/>
        </w:rPr>
        <w:t xml:space="preserve">0-12 </w:t>
      </w:r>
      <w:r w:rsidRPr="005A6418">
        <w:rPr>
          <w:spacing w:val="-4"/>
          <w:lang w:val="ru-RU"/>
        </w:rPr>
        <w:t xml:space="preserve">МФК была сравнима с таковой у пациентов, у которых трансплантат начинал функционировать после пересадки без задержки. Средняя величина </w:t>
      </w:r>
      <w:r w:rsidRPr="005A6418">
        <w:rPr>
          <w:spacing w:val="-4"/>
        </w:rPr>
        <w:t>AUC</w:t>
      </w:r>
      <w:r w:rsidRPr="005A6418">
        <w:rPr>
          <w:spacing w:val="-4"/>
          <w:vertAlign w:val="subscript"/>
          <w:lang w:val="ru-RU"/>
        </w:rPr>
        <w:t xml:space="preserve">0-12 </w:t>
      </w:r>
      <w:r w:rsidRPr="005A6418">
        <w:rPr>
          <w:spacing w:val="-4"/>
          <w:lang w:val="ru-RU"/>
        </w:rPr>
        <w:t xml:space="preserve">МФКГ в плазме была в 2-3 раза выше, чем у пациентов, у которых трансплантат начинал функционировать после пересадки без задержки. У пациентов с задержкой восстановления функции почечного трансплантата может наблюдаться транзиторное увеличение свободной фракции и концентрации МФК в плазме крови. Коррекция дозы препарата </w:t>
      </w:r>
      <w:r w:rsidR="00466A1B" w:rsidRPr="006977E7">
        <w:rPr>
          <w:bCs/>
          <w:caps/>
          <w:lang w:val="ru-RU"/>
        </w:rPr>
        <w:t>[</w:t>
      </w:r>
      <w:r w:rsidR="00466A1B" w:rsidRPr="006977E7">
        <w:rPr>
          <w:bCs/>
          <w:caps/>
          <w:highlight w:val="lightGray"/>
          <w:lang w:val="ru-RU"/>
        </w:rPr>
        <w:t>ТОРГОВОЕ НАЗВАНИЕ</w:t>
      </w:r>
      <w:r w:rsidR="00466A1B" w:rsidRPr="006977E7">
        <w:rPr>
          <w:bCs/>
          <w:caps/>
          <w:lang w:val="ru-RU"/>
        </w:rPr>
        <w:t>]</w:t>
      </w:r>
      <w:r w:rsidRPr="005A6418">
        <w:rPr>
          <w:spacing w:val="-4"/>
          <w:lang w:val="ru-RU"/>
        </w:rPr>
        <w:t xml:space="preserve"> очевидно не требуется.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Пациенты с нарушением функции печени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У добровольцев с алкогольным циррозом печени процессы глюкуронирования МФК в целом не были затронуты в результате процессов в результате паренхиматозных поражений печени. Влияние печеночной патологии на этот процесс, вероятно, зависит от конкретного заболевания. Однако заболевание печени с преимущественным поражением желчевыводящих путей, например, первичный билиарный цирроз печени, может оказывать другой эффект.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lastRenderedPageBreak/>
        <w:t>Пациенты пожилого возраста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Изменений в фармакокинетике микофенолата мофетила и его метаболитов у пациентов пожилого возраста (</w:t>
      </w:r>
      <w:r w:rsidRPr="005A6418">
        <w:rPr>
          <w:rFonts w:eastAsia="Gungsuh"/>
          <w:spacing w:val="-4"/>
          <w:lang w:val="ru-RU"/>
        </w:rPr>
        <w:t>≥</w:t>
      </w:r>
      <w:r w:rsidRPr="005A6418">
        <w:rPr>
          <w:spacing w:val="-4"/>
          <w:lang w:val="ru-RU"/>
        </w:rPr>
        <w:t>65 лет) после трансплантации по сравнению с пациентами более молодого возраста не обнаружено.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spacing w:val="-4"/>
          <w:lang w:val="ru-RU"/>
        </w:rPr>
      </w:pPr>
      <w:r w:rsidRPr="005A6418">
        <w:rPr>
          <w:i/>
          <w:spacing w:val="-4"/>
          <w:lang w:val="ru-RU"/>
        </w:rPr>
        <w:t>Пациенты, принимающие пероральные контрацептивы</w:t>
      </w:r>
    </w:p>
    <w:p w:rsidR="00A65B4B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В исследовании с участием 18 женщин не переносивших трансплантацию органов (не принимавших другие иммуносупрессанты) при одновременном приеме </w:t>
      </w:r>
      <w:r w:rsidR="00924F12" w:rsidRPr="005A6418">
        <w:rPr>
          <w:spacing w:val="-4"/>
          <w:lang w:val="ru-RU"/>
        </w:rPr>
        <w:t>микофенолата мофетила</w:t>
      </w:r>
      <w:r w:rsidRPr="005A6418">
        <w:rPr>
          <w:spacing w:val="-4"/>
          <w:lang w:val="ru-RU"/>
        </w:rPr>
        <w:t xml:space="preserve"> (1 г два раза в сутки) с комбинированными пероральными контрацептивами, содержащими этинилэстрадиол (0.02</w:t>
      </w:r>
      <w:r w:rsidRPr="005A6418">
        <w:rPr>
          <w:rFonts w:eastAsia="Symbol"/>
          <w:spacing w:val="-4"/>
          <w:lang w:val="ru-RU"/>
        </w:rPr>
        <w:t>−</w:t>
      </w:r>
      <w:r w:rsidRPr="005A6418">
        <w:rPr>
          <w:spacing w:val="-4"/>
          <w:lang w:val="ru-RU"/>
        </w:rPr>
        <w:t>0.04 мг) и левоноргестрел (0.05</w:t>
      </w:r>
      <w:r w:rsidRPr="005A6418">
        <w:rPr>
          <w:rFonts w:eastAsia="Symbol"/>
          <w:spacing w:val="-4"/>
          <w:lang w:val="ru-RU"/>
        </w:rPr>
        <w:t>−</w:t>
      </w:r>
      <w:r w:rsidRPr="005A6418">
        <w:rPr>
          <w:spacing w:val="-4"/>
          <w:lang w:val="ru-RU"/>
        </w:rPr>
        <w:t>0.2 мг), дезогестрел (0.15 мг) или гестоден (0.05</w:t>
      </w:r>
      <w:r w:rsidRPr="005A6418">
        <w:rPr>
          <w:rFonts w:eastAsia="Symbol"/>
          <w:spacing w:val="-4"/>
          <w:lang w:val="ru-RU"/>
        </w:rPr>
        <w:t>−</w:t>
      </w:r>
      <w:r w:rsidRPr="005A6418">
        <w:rPr>
          <w:spacing w:val="-4"/>
          <w:lang w:val="ru-RU"/>
        </w:rPr>
        <w:t xml:space="preserve">0.1 мг) на протяжении 3 последовательных менструальных циклов, клинически значимого воздействия </w:t>
      </w:r>
      <w:r w:rsidR="00924F12" w:rsidRPr="005A6418">
        <w:rPr>
          <w:spacing w:val="-4"/>
          <w:lang w:val="ru-RU"/>
        </w:rPr>
        <w:t xml:space="preserve">микофенолата мофетила </w:t>
      </w:r>
      <w:r w:rsidRPr="005A6418">
        <w:rPr>
          <w:spacing w:val="-4"/>
          <w:lang w:val="ru-RU"/>
        </w:rPr>
        <w:t xml:space="preserve">на подавление овуляции под действием пероральных контрацептивов не выявлено. Сывороточные концентрации лютеинизирующего гормона (ЛГ), фолликулостимулирующего гормона (ФСГ) и прогестерона не были подвержены значительному влиянию. Совместное применение </w:t>
      </w:r>
      <w:r w:rsidR="00924F12" w:rsidRPr="005A6418">
        <w:rPr>
          <w:spacing w:val="-4"/>
          <w:lang w:val="ru-RU"/>
        </w:rPr>
        <w:t>микофенолата мофетила</w:t>
      </w:r>
      <w:r w:rsidRPr="005A6418">
        <w:rPr>
          <w:spacing w:val="-4"/>
          <w:lang w:val="ru-RU"/>
        </w:rPr>
        <w:t xml:space="preserve"> не оказывает влияния на фармакокинетику пероральных контрацептивов (см. также раздел 4.5).</w:t>
      </w:r>
    </w:p>
    <w:p w:rsidR="000940E0" w:rsidRPr="005A6418" w:rsidRDefault="000940E0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5.3</w:t>
      </w:r>
      <w:r w:rsidR="000940E0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Данные доклинической безопасности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В экспериментальных моделях микофенолата мофетил не обладал действием, способствующим образованию опухолей. Применение максимальной дозы препарата в исследованиях канцерогенности у животных привело к приблизительно 2-х - 3-х кратному повышению системной экспозиции (</w:t>
      </w:r>
      <w:r w:rsidRPr="005A6418">
        <w:rPr>
          <w:spacing w:val="-4"/>
        </w:rPr>
        <w:t>AUC</w:t>
      </w:r>
      <w:r w:rsidRPr="005A6418">
        <w:rPr>
          <w:spacing w:val="-4"/>
          <w:lang w:val="ru-RU"/>
        </w:rPr>
        <w:t xml:space="preserve"> или С</w:t>
      </w:r>
      <w:r w:rsidRPr="005A6418">
        <w:rPr>
          <w:spacing w:val="-4"/>
          <w:vertAlign w:val="subscript"/>
        </w:rPr>
        <w:t>max</w:t>
      </w:r>
      <w:r w:rsidRPr="005A6418">
        <w:rPr>
          <w:spacing w:val="-4"/>
          <w:lang w:val="ru-RU"/>
        </w:rPr>
        <w:t>), наблюдавшейся у пациентов с почечным трансплантатом (рекомендованная терапевтическая доза 2 г в сутки) и к 1.3-х - 2-х кратному повышению системной экспозиции (</w:t>
      </w:r>
      <w:r w:rsidRPr="005A6418">
        <w:rPr>
          <w:spacing w:val="-4"/>
        </w:rPr>
        <w:t>AUC</w:t>
      </w:r>
      <w:r w:rsidRPr="005A6418">
        <w:rPr>
          <w:spacing w:val="-4"/>
          <w:lang w:val="ru-RU"/>
        </w:rPr>
        <w:t xml:space="preserve"> или С</w:t>
      </w:r>
      <w:r w:rsidRPr="005A6418">
        <w:rPr>
          <w:spacing w:val="-4"/>
          <w:vertAlign w:val="subscript"/>
        </w:rPr>
        <w:t>max</w:t>
      </w:r>
      <w:r w:rsidRPr="005A6418">
        <w:rPr>
          <w:spacing w:val="-4"/>
          <w:lang w:val="ru-RU"/>
        </w:rPr>
        <w:t xml:space="preserve">), наблюдавшейся у пациентов с сердечным трансплантатом (рекомендованная терапевтическая доза 3 г в сутки). 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Два анализа на генотоксичность (анализ клеток лимфомы мышей </w:t>
      </w:r>
      <w:r w:rsidRPr="005A6418">
        <w:rPr>
          <w:i/>
          <w:spacing w:val="-4"/>
        </w:rPr>
        <w:t>in</w:t>
      </w:r>
      <w:r w:rsidRPr="005A6418">
        <w:rPr>
          <w:i/>
          <w:spacing w:val="-4"/>
          <w:lang w:val="ru-RU"/>
        </w:rPr>
        <w:t xml:space="preserve"> </w:t>
      </w:r>
      <w:r w:rsidRPr="005A6418">
        <w:rPr>
          <w:i/>
          <w:spacing w:val="-4"/>
        </w:rPr>
        <w:t>vitro</w:t>
      </w:r>
      <w:r w:rsidRPr="005A6418">
        <w:rPr>
          <w:spacing w:val="-4"/>
          <w:lang w:val="ru-RU"/>
        </w:rPr>
        <w:t xml:space="preserve"> и микроядерный тест на клетках костного мозга</w:t>
      </w:r>
      <w:r w:rsidRPr="005A6418">
        <w:rPr>
          <w:i/>
          <w:spacing w:val="-4"/>
          <w:lang w:val="ru-RU"/>
        </w:rPr>
        <w:t xml:space="preserve"> </w:t>
      </w:r>
      <w:r w:rsidRPr="005A6418">
        <w:rPr>
          <w:i/>
          <w:spacing w:val="-4"/>
        </w:rPr>
        <w:t>in</w:t>
      </w:r>
      <w:r w:rsidRPr="005A6418">
        <w:rPr>
          <w:i/>
          <w:spacing w:val="-4"/>
          <w:lang w:val="ru-RU"/>
        </w:rPr>
        <w:t xml:space="preserve"> </w:t>
      </w:r>
      <w:r w:rsidRPr="005A6418">
        <w:rPr>
          <w:i/>
          <w:spacing w:val="-4"/>
        </w:rPr>
        <w:t>vivo</w:t>
      </w:r>
      <w:r w:rsidRPr="005A6418">
        <w:rPr>
          <w:spacing w:val="-4"/>
          <w:lang w:val="ru-RU"/>
        </w:rPr>
        <w:t xml:space="preserve">) продемонстрировали, что микофенолата мофетил потенциально способен вызывать хромосомные аберрации. Данные эффекты могут быть связаны с механизмом действия препарата, т. е. с ингибированием синтеза нуклеотидов в чувствительных клетках. Другие тесты </w:t>
      </w:r>
      <w:r w:rsidRPr="005A6418">
        <w:rPr>
          <w:i/>
          <w:spacing w:val="-4"/>
        </w:rPr>
        <w:t>in</w:t>
      </w:r>
      <w:r w:rsidRPr="005A6418">
        <w:rPr>
          <w:i/>
          <w:spacing w:val="-4"/>
          <w:lang w:val="ru-RU"/>
        </w:rPr>
        <w:t xml:space="preserve"> </w:t>
      </w:r>
      <w:r w:rsidRPr="005A6418">
        <w:rPr>
          <w:i/>
          <w:spacing w:val="-4"/>
        </w:rPr>
        <w:t>vitro</w:t>
      </w:r>
      <w:r w:rsidRPr="005A6418">
        <w:rPr>
          <w:spacing w:val="-4"/>
          <w:lang w:val="ru-RU"/>
        </w:rPr>
        <w:t xml:space="preserve"> на выявление генных мутаций не продемонстрировали генотоксической активности. 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Микофенолата мофетил не оказывал влияния на фертильность самцов крыс при приеме пероральных доз до 20 мг/кг/сут. Системная экспозиция при применении этой дозы превышала терапевтическую экспозицию, наблюдавшуюся у пациентов с почечным трансплантатом (рекомендованная терапевтическая доза 2 г в сутки) в 2-3 раза и у пациентов с сердечным трансплантатом (рекомендованная терапевтическая доза 3 г в сутки) в 1.3-2 раза. В исследовании репродуктивной токсичности применение пероральных доз препарата 4.5 мг/кг/сут у самок крыс вызывало пороки развития (включая анофтальмию, агнатию и гидроцефалию) в первом поколении потомства без токсического действия на материнский организм. Системная экспозиция при применении этой дозы превышала терапевтическую экспозицию, наблюдавшуюся у пациентов с почечным трансплантатом (рекомендованная терапевтическая доза 2 г в сутки) приблизительно в 0.5 раза и у пациентов с сердечным трансплантатом (рекомендованная терапевтическая доза 3 г в сутки) приблизительно в 0.3 раза. У самок или в последующих поколениях потомства влияния на фертильность или репродуктивность не отмечалось. 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В исследованиях тератогенности отмечалась резорбция плода и пороки развития у потомства крыс при введении доз 6 мг/кг/сут (включая анофтальмию, агнатию и гидроцефалию) и кроликов при введении доз 90 мг/кг/сут (включая сердечно-сосудистые и почечные аномалии, такие как эктопия сердца и почек, диафрагмальные и пупочные грыжи) без токсического действия на материнский организм. Системная экспозиция при применении этих доз превышала терапевтическую экспозицию, наблюдавшуюся у </w:t>
      </w:r>
      <w:r w:rsidRPr="005A6418">
        <w:rPr>
          <w:spacing w:val="-4"/>
          <w:lang w:val="ru-RU"/>
        </w:rPr>
        <w:lastRenderedPageBreak/>
        <w:t>пациентов с почечным трансплантатом (рекомендованная терапевтическая доза 2 г в сутки) приблизительно или менее чем в 0.5 раза и у пациентов с сердечным трансплантатом (рекомендованная терапевтическая доза 3 г в сутки) приблизительно в 0.3 раза (см. раздел 4.6).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В исследованиях токсичности микофенолата мофетила у крыс, мышей, собак и обезьян основные поражения локализовались в кроветворных и лимфоидных органах. Поражения возникали при уровне системной экспозиции, эквивалентном или ниже экспозиции при назначении рекомендованной терапевтической дозы 2 г/сутки реципиентам почечного трансплантата. Желудочно-кишечные поражения возникали у собак при системной экспозиции, эквивалентной или ниже терапевтической экспозиции при приеме рекомендованной дозы. Желудочно-кишечные и почечные поражения, указывающие на обезвоживание, также наблюдались у обезьян при применении самой высокой дозы (уровень системной экспозиции, эквивалентный или выше экспозиции при приеме терапевтических доз). Доклинический профиль токсичности микофенолата мофетила по-видимому соответствует профилю нежелательных событий, отмеченных в ходе клинических исследований с участием людей, что в настоящее время обеспечивает актуальные данные безопасности (см. раздел 4.8).</w:t>
      </w:r>
    </w:p>
    <w:p w:rsidR="00A65B4B" w:rsidRPr="005A6418" w:rsidRDefault="00A65B4B" w:rsidP="005A6418">
      <w:pPr>
        <w:jc w:val="both"/>
        <w:rPr>
          <w:b/>
          <w:spacing w:val="-4"/>
          <w:lang w:val="ru-RU"/>
        </w:rPr>
      </w:pP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6.</w:t>
      </w:r>
      <w:r w:rsidR="000940E0">
        <w:rPr>
          <w:b/>
          <w:spacing w:val="-4"/>
          <w:lang w:val="ru-RU"/>
        </w:rPr>
        <w:t xml:space="preserve"> </w:t>
      </w:r>
      <w:r w:rsidRPr="005A6418">
        <w:rPr>
          <w:b/>
          <w:smallCaps/>
          <w:spacing w:val="-4"/>
          <w:lang w:val="ru-RU"/>
        </w:rPr>
        <w:t>ФАРМАЦЕВТИЧЕСКИЕ СВОЙСТВА</w:t>
      </w: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6.1</w:t>
      </w:r>
      <w:r w:rsidR="000940E0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Перечень вспомогательных веществ</w:t>
      </w:r>
    </w:p>
    <w:p w:rsidR="00466A1B" w:rsidRPr="00466A1B" w:rsidRDefault="00466A1B" w:rsidP="00466A1B">
      <w:pPr>
        <w:jc w:val="both"/>
        <w:rPr>
          <w:lang w:val="ru-RU"/>
        </w:rPr>
      </w:pPr>
      <w:r w:rsidRPr="00466A1B">
        <w:rPr>
          <w:bCs/>
          <w:caps/>
          <w:highlight w:val="lightGray"/>
          <w:lang w:val="ru-RU"/>
        </w:rPr>
        <w:t>[согласно НД РК]</w:t>
      </w:r>
      <w:r w:rsidRPr="00466A1B">
        <w:rPr>
          <w:bCs/>
          <w:noProof/>
          <w:lang w:val="ru-RU"/>
        </w:rPr>
        <w:t xml:space="preserve"> </w:t>
      </w:r>
      <w:r w:rsidRPr="00466A1B">
        <w:rPr>
          <w:noProof/>
          <w:lang w:val="ru-RU"/>
        </w:rPr>
        <w:t xml:space="preserve"> </w:t>
      </w:r>
    </w:p>
    <w:p w:rsidR="00466A1B" w:rsidRPr="00466A1B" w:rsidRDefault="00466A1B" w:rsidP="00466A1B">
      <w:pPr>
        <w:tabs>
          <w:tab w:val="left" w:pos="7080"/>
        </w:tabs>
        <w:jc w:val="both"/>
        <w:rPr>
          <w:highlight w:val="lightGray"/>
          <w:lang w:val="ru-RU"/>
        </w:rPr>
      </w:pPr>
      <w:r>
        <w:rPr>
          <w:highlight w:val="lightGray"/>
        </w:rPr>
        <w:t>xxxxx</w:t>
      </w:r>
    </w:p>
    <w:p w:rsidR="00466A1B" w:rsidRPr="00466A1B" w:rsidRDefault="00466A1B" w:rsidP="00466A1B">
      <w:pPr>
        <w:tabs>
          <w:tab w:val="left" w:pos="7080"/>
        </w:tabs>
        <w:jc w:val="both"/>
        <w:rPr>
          <w:highlight w:val="lightGray"/>
          <w:lang w:val="ru-RU"/>
        </w:rPr>
      </w:pPr>
      <w:r>
        <w:rPr>
          <w:highlight w:val="lightGray"/>
        </w:rPr>
        <w:t>xxxxx</w:t>
      </w:r>
    </w:p>
    <w:p w:rsidR="00466A1B" w:rsidRPr="00466A1B" w:rsidRDefault="00466A1B" w:rsidP="00466A1B">
      <w:pPr>
        <w:tabs>
          <w:tab w:val="left" w:pos="7080"/>
        </w:tabs>
        <w:jc w:val="both"/>
        <w:rPr>
          <w:highlight w:val="lightGray"/>
          <w:lang w:val="ru-RU"/>
        </w:rPr>
      </w:pPr>
      <w:r>
        <w:rPr>
          <w:highlight w:val="lightGray"/>
        </w:rPr>
        <w:t>xxxxx</w:t>
      </w:r>
    </w:p>
    <w:p w:rsidR="00A65B4B" w:rsidRPr="005A6418" w:rsidRDefault="00466A1B" w:rsidP="00466A1B">
      <w:pPr>
        <w:jc w:val="both"/>
        <w:rPr>
          <w:spacing w:val="-4"/>
          <w:vertAlign w:val="superscript"/>
          <w:lang w:val="ru-RU"/>
        </w:rPr>
      </w:pPr>
      <w:r>
        <w:rPr>
          <w:highlight w:val="lightGray"/>
        </w:rPr>
        <w:t>xxxxx</w:t>
      </w: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6.2</w:t>
      </w:r>
      <w:r w:rsidR="000940E0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Несовместимость</w:t>
      </w:r>
    </w:p>
    <w:p w:rsidR="00A65B4B" w:rsidRPr="005A6418" w:rsidRDefault="000C6871" w:rsidP="005A641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Не применимо.</w:t>
      </w: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6.3</w:t>
      </w:r>
      <w:r w:rsidR="000940E0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 xml:space="preserve">Срок годности </w:t>
      </w:r>
    </w:p>
    <w:p w:rsidR="00466A1B" w:rsidRDefault="00466A1B" w:rsidP="005A6418">
      <w:pPr>
        <w:jc w:val="both"/>
        <w:rPr>
          <w:noProof/>
          <w:lang w:val="ru-RU"/>
        </w:rPr>
      </w:pPr>
      <w:r w:rsidRPr="00466A1B">
        <w:rPr>
          <w:bCs/>
          <w:caps/>
          <w:highlight w:val="lightGray"/>
          <w:lang w:val="ru-RU"/>
        </w:rPr>
        <w:t>[согласно НД РК]</w:t>
      </w:r>
      <w:r w:rsidRPr="00466A1B">
        <w:rPr>
          <w:bCs/>
          <w:noProof/>
          <w:lang w:val="ru-RU"/>
        </w:rPr>
        <w:t xml:space="preserve"> </w:t>
      </w:r>
      <w:r w:rsidRPr="00466A1B">
        <w:rPr>
          <w:noProof/>
          <w:lang w:val="ru-RU"/>
        </w:rPr>
        <w:t xml:space="preserve"> 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Не применять по истечении срока годности.</w:t>
      </w: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6.4</w:t>
      </w:r>
      <w:r w:rsidR="000940E0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Особые меры предосторожности при хранении</w:t>
      </w:r>
    </w:p>
    <w:p w:rsidR="00466A1B" w:rsidRDefault="00466A1B" w:rsidP="005A6418">
      <w:pPr>
        <w:jc w:val="both"/>
        <w:rPr>
          <w:bCs/>
          <w:caps/>
          <w:lang w:val="ru-RU"/>
        </w:rPr>
      </w:pPr>
      <w:r w:rsidRPr="00466A1B">
        <w:rPr>
          <w:bCs/>
          <w:caps/>
          <w:highlight w:val="lightGray"/>
          <w:lang w:val="ru-RU"/>
        </w:rPr>
        <w:t>[условия хранения согласно НД РК]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Хранить в недоступном для детей месте!</w:t>
      </w: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6.5</w:t>
      </w:r>
      <w:r w:rsidR="000940E0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 xml:space="preserve">Форма выпуска и упаковка </w:t>
      </w:r>
    </w:p>
    <w:p w:rsidR="00466A1B" w:rsidRPr="00466A1B" w:rsidRDefault="00466A1B" w:rsidP="00466A1B">
      <w:pPr>
        <w:tabs>
          <w:tab w:val="left" w:pos="426"/>
        </w:tabs>
        <w:jc w:val="both"/>
        <w:rPr>
          <w:noProof/>
          <w:lang w:val="ru-RU"/>
        </w:rPr>
      </w:pPr>
      <w:r w:rsidRPr="00466A1B">
        <w:rPr>
          <w:bCs/>
          <w:caps/>
          <w:highlight w:val="lightGray"/>
          <w:lang w:val="ru-RU"/>
        </w:rPr>
        <w:t>[Описание упаковки согласно НД РК]</w:t>
      </w:r>
      <w:r w:rsidRPr="00466A1B">
        <w:rPr>
          <w:bCs/>
          <w:noProof/>
          <w:lang w:val="ru-RU"/>
        </w:rPr>
        <w:t xml:space="preserve"> </w:t>
      </w:r>
      <w:r w:rsidRPr="00466A1B">
        <w:rPr>
          <w:noProof/>
          <w:lang w:val="ru-RU"/>
        </w:rPr>
        <w:t xml:space="preserve"> </w:t>
      </w: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6.6</w:t>
      </w:r>
      <w:r w:rsidR="000940E0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 xml:space="preserve">Особые меры предосторожности при уничтожении использованного лекарственного препарата или отходов, полученных после применения лекарственного препарата или работы с ним 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Любое неиспользованное количество лекарственного препарата или отходы следует уничтожить в установленном порядке.</w:t>
      </w: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 xml:space="preserve">6.7 Условия отпуска из аптек 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>По рецепту</w:t>
      </w:r>
    </w:p>
    <w:p w:rsidR="00A65B4B" w:rsidRPr="005A6418" w:rsidRDefault="00A65B4B" w:rsidP="005A6418">
      <w:pPr>
        <w:jc w:val="both"/>
        <w:rPr>
          <w:spacing w:val="-4"/>
          <w:lang w:val="ru-RU"/>
        </w:rPr>
      </w:pP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7.</w:t>
      </w:r>
      <w:r w:rsidR="000940E0">
        <w:rPr>
          <w:b/>
          <w:spacing w:val="-4"/>
          <w:lang w:val="ru-RU"/>
        </w:rPr>
        <w:t xml:space="preserve"> </w:t>
      </w:r>
      <w:r w:rsidRPr="005A6418">
        <w:rPr>
          <w:b/>
          <w:smallCaps/>
          <w:spacing w:val="-4"/>
          <w:lang w:val="ru-RU"/>
        </w:rPr>
        <w:t>ДЕРЖАТЕЛЬ РЕГИСТРАЦИОННОГО УДОСТОВЕРЕНИЯ</w:t>
      </w:r>
    </w:p>
    <w:p w:rsidR="00466A1B" w:rsidRPr="00DE2664" w:rsidRDefault="00466A1B" w:rsidP="00466A1B">
      <w:pPr>
        <w:jc w:val="both"/>
        <w:rPr>
          <w:noProof/>
          <w:lang w:val="ru-RU"/>
        </w:rPr>
      </w:pPr>
      <w:r w:rsidRPr="00DE2664">
        <w:rPr>
          <w:noProof/>
          <w:highlight w:val="lightGray"/>
          <w:lang w:val="ru-RU"/>
        </w:rPr>
        <w:t>[Заполняется на национальном уровне]</w:t>
      </w:r>
    </w:p>
    <w:p w:rsidR="00A65B4B" w:rsidRPr="005A6418" w:rsidRDefault="00A65B4B" w:rsidP="005A6418">
      <w:pPr>
        <w:jc w:val="both"/>
        <w:rPr>
          <w:spacing w:val="-4"/>
          <w:lang w:val="ru-RU"/>
        </w:rPr>
      </w:pP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7.1</w:t>
      </w:r>
      <w:r w:rsidR="000940E0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ПРЕДСТАВИТЕЛЬ ДЕРЖАТЕЛЯ РЕГИСТРАЦИОННОГО УДОСТОВЕРЕНИЯ</w:t>
      </w:r>
    </w:p>
    <w:p w:rsidR="00466A1B" w:rsidRPr="00DE2664" w:rsidRDefault="00466A1B" w:rsidP="00466A1B">
      <w:pPr>
        <w:jc w:val="both"/>
        <w:rPr>
          <w:noProof/>
          <w:lang w:val="ru-RU"/>
        </w:rPr>
      </w:pPr>
      <w:r w:rsidRPr="00DE2664">
        <w:rPr>
          <w:noProof/>
          <w:highlight w:val="lightGray"/>
          <w:lang w:val="ru-RU"/>
        </w:rPr>
        <w:t>[Заполняется на национальном уровне]</w:t>
      </w:r>
    </w:p>
    <w:p w:rsidR="00A65B4B" w:rsidRPr="005A6418" w:rsidRDefault="00A65B4B" w:rsidP="005A6418">
      <w:pPr>
        <w:jc w:val="both"/>
        <w:rPr>
          <w:spacing w:val="-4"/>
          <w:lang w:val="ru-RU"/>
        </w:rPr>
      </w:pPr>
    </w:p>
    <w:p w:rsidR="00A65B4B" w:rsidRPr="005A6418" w:rsidRDefault="000C6871" w:rsidP="005A6418">
      <w:pPr>
        <w:jc w:val="both"/>
        <w:rPr>
          <w:b/>
          <w:spacing w:val="-4"/>
          <w:lang w:val="ru-RU"/>
        </w:rPr>
      </w:pPr>
      <w:r w:rsidRPr="005A6418">
        <w:rPr>
          <w:b/>
          <w:spacing w:val="-4"/>
          <w:lang w:val="ru-RU"/>
        </w:rPr>
        <w:t>8.</w:t>
      </w:r>
      <w:r w:rsidR="000940E0">
        <w:rPr>
          <w:b/>
          <w:spacing w:val="-4"/>
          <w:lang w:val="ru-RU"/>
        </w:rPr>
        <w:t xml:space="preserve"> </w:t>
      </w:r>
      <w:r w:rsidRPr="005A6418">
        <w:rPr>
          <w:b/>
          <w:spacing w:val="-4"/>
          <w:lang w:val="ru-RU"/>
        </w:rPr>
        <w:t>НОМЕР РЕГИСТРАЦИОННОГО УДОСТОВЕРЕНИЯ</w:t>
      </w:r>
    </w:p>
    <w:p w:rsidR="00466A1B" w:rsidRPr="00DE2664" w:rsidRDefault="00466A1B" w:rsidP="00466A1B">
      <w:pPr>
        <w:jc w:val="both"/>
        <w:rPr>
          <w:noProof/>
          <w:lang w:val="ru-RU"/>
        </w:rPr>
      </w:pPr>
      <w:r w:rsidRPr="00DE2664">
        <w:rPr>
          <w:noProof/>
          <w:highlight w:val="lightGray"/>
          <w:lang w:val="ru-RU"/>
        </w:rPr>
        <w:t>[Заполняется на национальном уровне]</w:t>
      </w:r>
    </w:p>
    <w:p w:rsidR="00A65B4B" w:rsidRPr="005A6418" w:rsidRDefault="00A65B4B" w:rsidP="005A6418">
      <w:pPr>
        <w:rPr>
          <w:spacing w:val="-4"/>
          <w:lang w:val="ru-RU"/>
        </w:rPr>
      </w:pPr>
    </w:p>
    <w:p w:rsidR="00A65B4B" w:rsidRPr="005A6418" w:rsidRDefault="000C6871" w:rsidP="005A6418">
      <w:pPr>
        <w:jc w:val="both"/>
        <w:rPr>
          <w:b/>
          <w:smallCaps/>
          <w:spacing w:val="-4"/>
          <w:lang w:val="ru-RU"/>
        </w:rPr>
      </w:pPr>
      <w:r w:rsidRPr="005A6418">
        <w:rPr>
          <w:b/>
          <w:smallCaps/>
          <w:spacing w:val="-4"/>
          <w:lang w:val="ru-RU"/>
        </w:rPr>
        <w:lastRenderedPageBreak/>
        <w:t>9.</w:t>
      </w:r>
      <w:r w:rsidR="000940E0">
        <w:rPr>
          <w:b/>
          <w:smallCaps/>
          <w:spacing w:val="-4"/>
          <w:lang w:val="ru-RU"/>
        </w:rPr>
        <w:t xml:space="preserve"> </w:t>
      </w:r>
      <w:r w:rsidRPr="005A6418">
        <w:rPr>
          <w:b/>
          <w:smallCaps/>
          <w:spacing w:val="-4"/>
          <w:lang w:val="ru-RU"/>
        </w:rPr>
        <w:t>ДАТА ПЕРВИЧНОЙ РЕГИСТРАЦИИ (ПОДТВЕРЖДЕНИЯ РЕГИСТРАЦИИ, ПЕРЕРЕГИСТРАЦИИ)</w:t>
      </w:r>
    </w:p>
    <w:p w:rsidR="00466A1B" w:rsidRPr="00DE2664" w:rsidRDefault="00466A1B" w:rsidP="00466A1B">
      <w:pPr>
        <w:jc w:val="both"/>
        <w:rPr>
          <w:noProof/>
          <w:lang w:val="ru-RU"/>
        </w:rPr>
      </w:pPr>
      <w:r w:rsidRPr="00DE2664">
        <w:rPr>
          <w:noProof/>
          <w:highlight w:val="lightGray"/>
          <w:lang w:val="ru-RU"/>
        </w:rPr>
        <w:t>[Заполняется на национальном уровне]</w:t>
      </w:r>
    </w:p>
    <w:p w:rsidR="00A65B4B" w:rsidRPr="005A6418" w:rsidRDefault="00A65B4B" w:rsidP="005A6418">
      <w:pPr>
        <w:jc w:val="both"/>
        <w:rPr>
          <w:b/>
          <w:smallCaps/>
          <w:spacing w:val="-4"/>
          <w:lang w:val="ru-RU"/>
        </w:rPr>
      </w:pPr>
    </w:p>
    <w:p w:rsidR="00A65B4B" w:rsidRPr="005A6418" w:rsidRDefault="000C6871" w:rsidP="005A6418">
      <w:pPr>
        <w:jc w:val="both"/>
        <w:rPr>
          <w:b/>
          <w:smallCaps/>
          <w:spacing w:val="-4"/>
          <w:lang w:val="ru-RU"/>
        </w:rPr>
      </w:pPr>
      <w:r w:rsidRPr="005A6418">
        <w:rPr>
          <w:b/>
          <w:smallCaps/>
          <w:spacing w:val="-4"/>
          <w:lang w:val="ru-RU"/>
        </w:rPr>
        <w:t>10.</w:t>
      </w:r>
      <w:r w:rsidR="000940E0">
        <w:rPr>
          <w:b/>
          <w:smallCaps/>
          <w:spacing w:val="-4"/>
          <w:lang w:val="ru-RU"/>
        </w:rPr>
        <w:t xml:space="preserve"> </w:t>
      </w:r>
      <w:r w:rsidRPr="005A6418">
        <w:rPr>
          <w:b/>
          <w:smallCaps/>
          <w:spacing w:val="-4"/>
          <w:lang w:val="ru-RU"/>
        </w:rPr>
        <w:t>ДАТА ПЕРЕСМОТРА ТЕКСТА</w:t>
      </w:r>
    </w:p>
    <w:p w:rsidR="00A65B4B" w:rsidRPr="005A6418" w:rsidRDefault="000C6871" w:rsidP="005A6418">
      <w:pPr>
        <w:jc w:val="both"/>
        <w:rPr>
          <w:spacing w:val="-4"/>
          <w:lang w:val="ru-RU"/>
        </w:rPr>
      </w:pPr>
      <w:r w:rsidRPr="005A6418">
        <w:rPr>
          <w:spacing w:val="-4"/>
          <w:lang w:val="ru-RU"/>
        </w:rPr>
        <w:t xml:space="preserve">Общая характеристика лекарственного средства доступна на официальном сайте </w:t>
      </w:r>
      <w:hyperlink r:id="rId11">
        <w:r w:rsidRPr="005A6418">
          <w:rPr>
            <w:spacing w:val="-4"/>
          </w:rPr>
          <w:t>www</w:t>
        </w:r>
        <w:r w:rsidRPr="005A6418">
          <w:rPr>
            <w:spacing w:val="-4"/>
            <w:lang w:val="ru-RU"/>
          </w:rPr>
          <w:t>.</w:t>
        </w:r>
        <w:r w:rsidRPr="005A6418">
          <w:rPr>
            <w:spacing w:val="-4"/>
          </w:rPr>
          <w:t>ndda</w:t>
        </w:r>
        <w:r w:rsidRPr="005A6418">
          <w:rPr>
            <w:spacing w:val="-4"/>
            <w:lang w:val="ru-RU"/>
          </w:rPr>
          <w:t>.</w:t>
        </w:r>
        <w:r w:rsidRPr="005A6418">
          <w:rPr>
            <w:spacing w:val="-4"/>
          </w:rPr>
          <w:t>kz</w:t>
        </w:r>
      </w:hyperlink>
    </w:p>
    <w:sectPr w:rsidR="00A65B4B" w:rsidRPr="005A6418" w:rsidSect="005A6418">
      <w:headerReference w:type="default" r:id="rId12"/>
      <w:footerReference w:type="default" r:id="rId13"/>
      <w:pgSz w:w="11900" w:h="16820"/>
      <w:pgMar w:top="1134" w:right="1134" w:bottom="1134" w:left="1701" w:header="0" w:footer="6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D0F" w:rsidRDefault="008E5D0F">
      <w:r>
        <w:separator/>
      </w:r>
    </w:p>
  </w:endnote>
  <w:endnote w:type="continuationSeparator" w:id="0">
    <w:p w:rsidR="008E5D0F" w:rsidRDefault="008E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Malgun Gothic"/>
    <w:panose1 w:val="020B060402020202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A30" w:rsidRDefault="00E96A30">
    <w:pPr>
      <w:pBdr>
        <w:top w:val="nil"/>
        <w:left w:val="nil"/>
        <w:bottom w:val="nil"/>
        <w:right w:val="nil"/>
        <w:between w:val="nil"/>
      </w:pBdr>
      <w:tabs>
        <w:tab w:val="left" w:pos="2652"/>
        <w:tab w:val="left" w:pos="4330"/>
        <w:tab w:val="left" w:pos="6183"/>
        <w:tab w:val="left" w:pos="8086"/>
      </w:tabs>
      <w:spacing w:before="53" w:line="14" w:lineRule="auto"/>
      <w:ind w:right="105"/>
      <w:rPr>
        <w:rFonts w:ascii="Verdana" w:eastAsia="Verdana" w:hAnsi="Verdana" w:cs="Verdana"/>
        <w:b/>
        <w:color w:val="000000"/>
        <w:sz w:val="18"/>
        <w:szCs w:val="18"/>
        <w:highlight w:val="white"/>
      </w:rPr>
    </w:pPr>
  </w:p>
  <w:p w:rsidR="00E96A30" w:rsidRDefault="00E96A30">
    <w:pPr>
      <w:pBdr>
        <w:top w:val="nil"/>
        <w:left w:val="nil"/>
        <w:bottom w:val="nil"/>
        <w:right w:val="nil"/>
        <w:between w:val="nil"/>
      </w:pBdr>
      <w:tabs>
        <w:tab w:val="left" w:pos="2652"/>
        <w:tab w:val="left" w:pos="4330"/>
        <w:tab w:val="left" w:pos="6183"/>
        <w:tab w:val="left" w:pos="8086"/>
      </w:tabs>
      <w:spacing w:before="53" w:line="14" w:lineRule="auto"/>
      <w:ind w:right="105"/>
      <w:rPr>
        <w:rFonts w:ascii="Verdana" w:eastAsia="Verdana" w:hAnsi="Verdana" w:cs="Verdana"/>
        <w:b/>
        <w:color w:val="000000"/>
        <w:sz w:val="18"/>
        <w:szCs w:val="18"/>
        <w:highlight w:val="white"/>
      </w:rPr>
    </w:pPr>
  </w:p>
  <w:p w:rsidR="00E96A30" w:rsidRDefault="00E96A30">
    <w:pPr>
      <w:pBdr>
        <w:top w:val="nil"/>
        <w:left w:val="nil"/>
        <w:bottom w:val="nil"/>
        <w:right w:val="nil"/>
        <w:between w:val="nil"/>
      </w:pBdr>
      <w:tabs>
        <w:tab w:val="left" w:pos="2652"/>
        <w:tab w:val="left" w:pos="4330"/>
        <w:tab w:val="left" w:pos="6183"/>
        <w:tab w:val="left" w:pos="8086"/>
      </w:tabs>
      <w:spacing w:before="53" w:line="14" w:lineRule="auto"/>
      <w:ind w:right="105"/>
      <w:rPr>
        <w:rFonts w:ascii="Verdana" w:eastAsia="Verdana" w:hAnsi="Verdana" w:cs="Verdana"/>
        <w:b/>
        <w:color w:val="000000"/>
        <w:sz w:val="18"/>
        <w:szCs w:val="18"/>
        <w:highlight w:val="white"/>
      </w:rPr>
    </w:pPr>
  </w:p>
  <w:p w:rsidR="00E96A30" w:rsidRDefault="00E96A30">
    <w:pPr>
      <w:pBdr>
        <w:top w:val="nil"/>
        <w:left w:val="nil"/>
        <w:bottom w:val="nil"/>
        <w:right w:val="nil"/>
        <w:between w:val="nil"/>
      </w:pBdr>
      <w:tabs>
        <w:tab w:val="left" w:pos="2652"/>
        <w:tab w:val="left" w:pos="4330"/>
        <w:tab w:val="left" w:pos="6183"/>
        <w:tab w:val="left" w:pos="8086"/>
      </w:tabs>
      <w:spacing w:before="53" w:line="14" w:lineRule="auto"/>
      <w:ind w:right="105"/>
      <w:rPr>
        <w:rFonts w:ascii="Verdana" w:eastAsia="Verdana" w:hAnsi="Verdana" w:cs="Verdana"/>
        <w:b/>
        <w:color w:val="000000"/>
        <w:sz w:val="18"/>
        <w:szCs w:val="18"/>
        <w:highlight w:val="whit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D0F" w:rsidRDefault="008E5D0F">
      <w:r>
        <w:separator/>
      </w:r>
    </w:p>
  </w:footnote>
  <w:footnote w:type="continuationSeparator" w:id="0">
    <w:p w:rsidR="008E5D0F" w:rsidRDefault="008E5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A2" w:rsidRDefault="007E7DA2" w:rsidP="007E7DA2">
    <w:pPr>
      <w:pStyle w:val="a9"/>
      <w:jc w:val="right"/>
      <w:rPr>
        <w:b/>
        <w:lang w:val="ru-RU"/>
      </w:rPr>
    </w:pPr>
  </w:p>
  <w:p w:rsidR="007E7DA2" w:rsidRDefault="007E7DA2" w:rsidP="007E7DA2">
    <w:pPr>
      <w:pStyle w:val="a9"/>
      <w:jc w:val="right"/>
    </w:pPr>
    <w:r>
      <w:rPr>
        <w:b/>
      </w:rPr>
      <w:t>Версия 1  Дата обновления 2</w:t>
    </w:r>
    <w:r>
      <w:rPr>
        <w:b/>
        <w:lang w:val="ru-RU"/>
      </w:rPr>
      <w:t>5</w:t>
    </w:r>
    <w:r>
      <w:rPr>
        <w:b/>
      </w:rPr>
      <w:t>.11.2022</w:t>
    </w:r>
  </w:p>
  <w:p w:rsidR="007E7DA2" w:rsidRDefault="007E7D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B4F00"/>
    <w:multiLevelType w:val="multilevel"/>
    <w:tmpl w:val="E80E0D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E4A10A7"/>
    <w:multiLevelType w:val="multilevel"/>
    <w:tmpl w:val="2A9C2E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DE04E65"/>
    <w:multiLevelType w:val="multilevel"/>
    <w:tmpl w:val="6504B554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4B"/>
    <w:rsid w:val="00013764"/>
    <w:rsid w:val="00052665"/>
    <w:rsid w:val="000940E0"/>
    <w:rsid w:val="000C6871"/>
    <w:rsid w:val="000D1C5E"/>
    <w:rsid w:val="000E75E7"/>
    <w:rsid w:val="001410F8"/>
    <w:rsid w:val="00175B8D"/>
    <w:rsid w:val="00195513"/>
    <w:rsid w:val="002D09AD"/>
    <w:rsid w:val="002E76D5"/>
    <w:rsid w:val="002F200B"/>
    <w:rsid w:val="00342C34"/>
    <w:rsid w:val="00371E85"/>
    <w:rsid w:val="0038701B"/>
    <w:rsid w:val="003B09D1"/>
    <w:rsid w:val="003C7AC8"/>
    <w:rsid w:val="00435F5B"/>
    <w:rsid w:val="00435F71"/>
    <w:rsid w:val="00466A1B"/>
    <w:rsid w:val="00525D65"/>
    <w:rsid w:val="005A6418"/>
    <w:rsid w:val="0060481D"/>
    <w:rsid w:val="006336F7"/>
    <w:rsid w:val="00657557"/>
    <w:rsid w:val="0069472D"/>
    <w:rsid w:val="006977E7"/>
    <w:rsid w:val="006B18BB"/>
    <w:rsid w:val="00744426"/>
    <w:rsid w:val="007E7DA2"/>
    <w:rsid w:val="00821784"/>
    <w:rsid w:val="0084060B"/>
    <w:rsid w:val="008509B2"/>
    <w:rsid w:val="008B2F48"/>
    <w:rsid w:val="008C1EF7"/>
    <w:rsid w:val="008E5D0F"/>
    <w:rsid w:val="008E603A"/>
    <w:rsid w:val="008F67CC"/>
    <w:rsid w:val="0091773D"/>
    <w:rsid w:val="00924F12"/>
    <w:rsid w:val="00955426"/>
    <w:rsid w:val="0095766E"/>
    <w:rsid w:val="00972B96"/>
    <w:rsid w:val="00984EBB"/>
    <w:rsid w:val="00A023C3"/>
    <w:rsid w:val="00A05343"/>
    <w:rsid w:val="00A65B4B"/>
    <w:rsid w:val="00AD00FC"/>
    <w:rsid w:val="00AD5A11"/>
    <w:rsid w:val="00B707E7"/>
    <w:rsid w:val="00C23ACD"/>
    <w:rsid w:val="00C66253"/>
    <w:rsid w:val="00CA022F"/>
    <w:rsid w:val="00CE0511"/>
    <w:rsid w:val="00CE3023"/>
    <w:rsid w:val="00D10A7F"/>
    <w:rsid w:val="00DC0AF2"/>
    <w:rsid w:val="00DE2664"/>
    <w:rsid w:val="00E96A30"/>
    <w:rsid w:val="00EF2C25"/>
    <w:rsid w:val="00F01CC6"/>
    <w:rsid w:val="00F31198"/>
    <w:rsid w:val="00F80C55"/>
    <w:rsid w:val="00FA60B3"/>
    <w:rsid w:val="00FD5DB7"/>
    <w:rsid w:val="00FE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CD5757"/>
    <w:pPr>
      <w:autoSpaceDE w:val="0"/>
      <w:autoSpaceDN w:val="0"/>
      <w:adjustRightInd w:val="0"/>
    </w:pPr>
    <w:rPr>
      <w:lang w:val="en-US" w:eastAsia="en-US"/>
    </w:rPr>
  </w:style>
  <w:style w:type="paragraph" w:styleId="1">
    <w:name w:val="heading 1"/>
    <w:basedOn w:val="a0"/>
    <w:next w:val="a0"/>
    <w:link w:val="10"/>
    <w:uiPriority w:val="1"/>
    <w:qFormat/>
    <w:pPr>
      <w:ind w:left="118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1"/>
    <w:qFormat/>
    <w:pPr>
      <w:spacing w:before="2"/>
      <w:ind w:left="118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D054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Body Text"/>
    <w:basedOn w:val="a0"/>
    <w:link w:val="a6"/>
    <w:uiPriority w:val="1"/>
    <w:qFormat/>
    <w:rsid w:val="002753BD"/>
    <w:pPr>
      <w:tabs>
        <w:tab w:val="left" w:pos="2652"/>
        <w:tab w:val="left" w:pos="4330"/>
        <w:tab w:val="left" w:pos="6183"/>
        <w:tab w:val="left" w:pos="8086"/>
      </w:tabs>
      <w:kinsoku w:val="0"/>
      <w:overflowPunct w:val="0"/>
      <w:spacing w:before="53" w:line="247" w:lineRule="auto"/>
      <w:ind w:left="118" w:right="105"/>
    </w:pPr>
    <w:rPr>
      <w:spacing w:val="1"/>
      <w:w w:val="105"/>
      <w:lang w:val="ru-RU"/>
    </w:rPr>
  </w:style>
  <w:style w:type="character" w:customStyle="1" w:styleId="a6">
    <w:name w:val="Основной текст Знак"/>
    <w:link w:val="a5"/>
    <w:uiPriority w:val="1"/>
    <w:rsid w:val="002753BD"/>
    <w:rPr>
      <w:rFonts w:ascii="Times New Roman" w:hAnsi="Times New Roman" w:cs="Times New Roman"/>
      <w:spacing w:val="1"/>
      <w:w w:val="105"/>
      <w:sz w:val="24"/>
      <w:szCs w:val="24"/>
      <w:lang w:val="ru-RU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List Paragraph"/>
    <w:basedOn w:val="a0"/>
    <w:uiPriority w:val="34"/>
    <w:qFormat/>
  </w:style>
  <w:style w:type="paragraph" w:customStyle="1" w:styleId="TableParagraph">
    <w:name w:val="Table Paragraph"/>
    <w:basedOn w:val="a0"/>
    <w:uiPriority w:val="1"/>
    <w:qFormat/>
  </w:style>
  <w:style w:type="paragraph" w:styleId="a8">
    <w:name w:val="No Spacing"/>
    <w:uiPriority w:val="1"/>
    <w:qFormat/>
    <w:rsid w:val="00C66969"/>
    <w:rPr>
      <w:sz w:val="22"/>
      <w:szCs w:val="22"/>
    </w:rPr>
  </w:style>
  <w:style w:type="paragraph" w:styleId="a9">
    <w:name w:val="header"/>
    <w:basedOn w:val="a0"/>
    <w:link w:val="aa"/>
    <w:unhideWhenUsed/>
    <w:rsid w:val="005B52ED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link w:val="a9"/>
    <w:rsid w:val="005B52ED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0"/>
    <w:link w:val="ac"/>
    <w:uiPriority w:val="99"/>
    <w:unhideWhenUsed/>
    <w:rsid w:val="005B52ED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link w:val="ab"/>
    <w:uiPriority w:val="99"/>
    <w:rsid w:val="005B52ED"/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0"/>
    <w:unhideWhenUsed/>
    <w:rsid w:val="0026645F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5Sylfaen0">
    <w:name w:val="Основной текст (5) + Sylfaen_0"/>
    <w:rsid w:val="00E1589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table" w:styleId="ae">
    <w:name w:val="Table Grid"/>
    <w:basedOn w:val="a2"/>
    <w:uiPriority w:val="59"/>
    <w:rsid w:val="00282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Основной текст (18)_"/>
    <w:link w:val="180"/>
    <w:rsid w:val="00282FBE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8Sylfaen">
    <w:name w:val="Основной текст (18) + Sylfaen;Полужирный"/>
    <w:rsid w:val="00282FBE"/>
    <w:rPr>
      <w:rFonts w:ascii="Sylfaen" w:eastAsia="Sylfaen" w:hAnsi="Sylfaen" w:cs="Sylfae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180">
    <w:name w:val="Основной текст (18)"/>
    <w:basedOn w:val="a0"/>
    <w:link w:val="18"/>
    <w:rsid w:val="00282FBE"/>
    <w:pPr>
      <w:shd w:val="clear" w:color="auto" w:fill="FFFFFF"/>
      <w:autoSpaceDE/>
      <w:autoSpaceDN/>
      <w:adjustRightInd/>
      <w:spacing w:after="480" w:line="254" w:lineRule="exact"/>
      <w:jc w:val="both"/>
    </w:pPr>
    <w:rPr>
      <w:sz w:val="22"/>
      <w:szCs w:val="22"/>
      <w:lang w:val="ru-RU" w:eastAsia="zh-CN"/>
    </w:rPr>
  </w:style>
  <w:style w:type="character" w:customStyle="1" w:styleId="60">
    <w:name w:val="Подпись к таблице (6)_"/>
    <w:link w:val="61"/>
    <w:rsid w:val="00901324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61">
    <w:name w:val="Подпись к таблице (6)"/>
    <w:basedOn w:val="a0"/>
    <w:link w:val="60"/>
    <w:rsid w:val="00901324"/>
    <w:pPr>
      <w:shd w:val="clear" w:color="auto" w:fill="FFFFFF"/>
      <w:autoSpaceDE/>
      <w:autoSpaceDN/>
      <w:adjustRightInd/>
      <w:spacing w:line="230" w:lineRule="exact"/>
    </w:pPr>
    <w:rPr>
      <w:rFonts w:ascii="Sylfaen" w:eastAsia="Sylfaen" w:hAnsi="Sylfaen" w:cs="Sylfaen"/>
      <w:sz w:val="18"/>
      <w:szCs w:val="18"/>
      <w:lang w:val="ru-RU" w:eastAsia="zh-CN"/>
    </w:rPr>
  </w:style>
  <w:style w:type="character" w:styleId="af">
    <w:name w:val="annotation reference"/>
    <w:uiPriority w:val="99"/>
    <w:semiHidden/>
    <w:unhideWhenUsed/>
    <w:rsid w:val="00F93AF6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F93AF6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93AF6"/>
    <w:rPr>
      <w:rFonts w:ascii="Times New Roman" w:hAnsi="Times New Roman"/>
      <w:lang w:val="en-US"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3AF6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93AF6"/>
    <w:rPr>
      <w:rFonts w:ascii="Times New Roman" w:hAnsi="Times New Roman"/>
      <w:b/>
      <w:bCs/>
      <w:lang w:val="en-US" w:eastAsia="en-US"/>
    </w:rPr>
  </w:style>
  <w:style w:type="paragraph" w:styleId="af4">
    <w:name w:val="Balloon Text"/>
    <w:basedOn w:val="a0"/>
    <w:link w:val="af5"/>
    <w:uiPriority w:val="99"/>
    <w:semiHidden/>
    <w:unhideWhenUsed/>
    <w:rsid w:val="00F93AF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F93AF6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1525D5"/>
    <w:pPr>
      <w:autoSpaceDE w:val="0"/>
      <w:autoSpaceDN w:val="0"/>
      <w:adjustRightInd w:val="0"/>
    </w:pPr>
    <w:rPr>
      <w:color w:val="000000"/>
      <w:lang w:eastAsia="zh-CN"/>
    </w:rPr>
  </w:style>
  <w:style w:type="character" w:customStyle="1" w:styleId="21">
    <w:name w:val="Основной текст (2)_"/>
    <w:link w:val="22"/>
    <w:locked/>
    <w:rsid w:val="005062E9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5062E9"/>
    <w:pPr>
      <w:shd w:val="clear" w:color="auto" w:fill="FFFFFF"/>
      <w:autoSpaceDE/>
      <w:autoSpaceDN/>
      <w:adjustRightInd/>
      <w:spacing w:line="0" w:lineRule="atLeast"/>
      <w:ind w:hanging="660"/>
    </w:pPr>
    <w:rPr>
      <w:sz w:val="20"/>
      <w:szCs w:val="20"/>
      <w:lang w:val="ru-RU" w:eastAsia="zh-CN"/>
    </w:rPr>
  </w:style>
  <w:style w:type="character" w:customStyle="1" w:styleId="211pt">
    <w:name w:val="Основной текст (2) + 11 pt"/>
    <w:rsid w:val="005062E9"/>
    <w:rPr>
      <w:rFonts w:ascii="Times New Roman" w:hAnsi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 w:eastAsia="en-US" w:bidi="en-US"/>
    </w:rPr>
  </w:style>
  <w:style w:type="character" w:customStyle="1" w:styleId="29pt">
    <w:name w:val="Основной текст (2) + 9 pt"/>
    <w:rsid w:val="00AE0721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295pt">
    <w:name w:val="Основной текст (2) + 9;5 pt;Курсив"/>
    <w:rsid w:val="00AE07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295pt0">
    <w:name w:val="Основной текст (2) + 9;5 pt"/>
    <w:rsid w:val="00874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28pt">
    <w:name w:val="Основной текст (2) + 8 pt"/>
    <w:rsid w:val="00874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styleId="af6">
    <w:name w:val="Hyperlink"/>
    <w:uiPriority w:val="99"/>
    <w:unhideWhenUsed/>
    <w:rsid w:val="00C32A4C"/>
    <w:rPr>
      <w:color w:val="0563C1"/>
      <w:u w:val="single"/>
    </w:rPr>
  </w:style>
  <w:style w:type="paragraph" w:customStyle="1" w:styleId="Style5">
    <w:name w:val="Style5"/>
    <w:basedOn w:val="a0"/>
    <w:uiPriority w:val="99"/>
    <w:rsid w:val="006B29B5"/>
    <w:pPr>
      <w:spacing w:line="274" w:lineRule="exact"/>
      <w:jc w:val="both"/>
    </w:pPr>
    <w:rPr>
      <w:lang w:val="ru-RU" w:eastAsia="ru-RU"/>
    </w:rPr>
  </w:style>
  <w:style w:type="paragraph" w:styleId="af7">
    <w:name w:val="footnote text"/>
    <w:basedOn w:val="a0"/>
    <w:link w:val="af8"/>
    <w:uiPriority w:val="99"/>
    <w:semiHidden/>
    <w:unhideWhenUsed/>
    <w:rsid w:val="00D8518E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D8518E"/>
    <w:rPr>
      <w:rFonts w:ascii="Times New Roman" w:hAnsi="Times New Roman"/>
      <w:lang w:val="en-US" w:eastAsia="en-US"/>
    </w:rPr>
  </w:style>
  <w:style w:type="character" w:styleId="af9">
    <w:name w:val="footnote reference"/>
    <w:uiPriority w:val="99"/>
    <w:semiHidden/>
    <w:unhideWhenUsed/>
    <w:rsid w:val="00D8518E"/>
    <w:rPr>
      <w:vertAlign w:val="superscript"/>
    </w:rPr>
  </w:style>
  <w:style w:type="paragraph" w:styleId="afa">
    <w:name w:val="Revision"/>
    <w:hidden/>
    <w:uiPriority w:val="99"/>
    <w:semiHidden/>
    <w:rsid w:val="00CA466A"/>
    <w:rPr>
      <w:lang w:val="en-US" w:eastAsia="en-US"/>
    </w:rPr>
  </w:style>
  <w:style w:type="character" w:customStyle="1" w:styleId="apple-converted-space">
    <w:name w:val="apple-converted-space"/>
    <w:rsid w:val="00EB0D67"/>
  </w:style>
  <w:style w:type="character" w:customStyle="1" w:styleId="30">
    <w:name w:val="Заголовок 3 Знак"/>
    <w:link w:val="3"/>
    <w:uiPriority w:val="9"/>
    <w:semiHidden/>
    <w:rsid w:val="007D0546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afb">
    <w:name w:val="Основной текст + Полужирный"/>
    <w:rsid w:val="00697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7">
    <w:name w:val="Основной текст7"/>
    <w:rsid w:val="00697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single"/>
      <w:shd w:val="clear" w:color="auto" w:fill="FFFFFF"/>
    </w:rPr>
  </w:style>
  <w:style w:type="character" w:customStyle="1" w:styleId="8">
    <w:name w:val="Основной текст8"/>
    <w:rsid w:val="00697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single"/>
      <w:shd w:val="clear" w:color="auto" w:fill="FFFFFF"/>
    </w:rPr>
  </w:style>
  <w:style w:type="paragraph" w:customStyle="1" w:styleId="24">
    <w:name w:val="Основной текст (2)_4"/>
    <w:basedOn w:val="a0"/>
    <w:rsid w:val="00697D19"/>
    <w:pPr>
      <w:shd w:val="clear" w:color="auto" w:fill="FFFFFF"/>
      <w:autoSpaceDE/>
      <w:autoSpaceDN/>
      <w:adjustRightInd/>
      <w:spacing w:line="0" w:lineRule="atLeast"/>
      <w:ind w:hanging="580"/>
      <w:jc w:val="both"/>
    </w:pPr>
    <w:rPr>
      <w:color w:val="000000"/>
      <w:sz w:val="22"/>
      <w:szCs w:val="22"/>
      <w:lang w:bidi="en-US"/>
    </w:rPr>
  </w:style>
  <w:style w:type="character" w:styleId="afc">
    <w:name w:val="Emphasis"/>
    <w:uiPriority w:val="20"/>
    <w:qFormat/>
    <w:rsid w:val="00697D19"/>
    <w:rPr>
      <w:i/>
      <w:iCs/>
    </w:rPr>
  </w:style>
  <w:style w:type="paragraph" w:customStyle="1" w:styleId="TextTi12">
    <w:name w:val="Text:Ti12"/>
    <w:basedOn w:val="a0"/>
    <w:link w:val="TextTi12Char"/>
    <w:rsid w:val="00697D19"/>
    <w:pPr>
      <w:widowControl/>
      <w:autoSpaceDE/>
      <w:autoSpaceDN/>
      <w:adjustRightInd/>
      <w:spacing w:after="170" w:line="280" w:lineRule="atLeast"/>
      <w:jc w:val="both"/>
    </w:pPr>
    <w:rPr>
      <w:lang w:eastAsia="de-DE"/>
    </w:rPr>
  </w:style>
  <w:style w:type="character" w:customStyle="1" w:styleId="TextTi12Char">
    <w:name w:val="Text:Ti12 Char"/>
    <w:link w:val="TextTi12"/>
    <w:rsid w:val="00697D19"/>
    <w:rPr>
      <w:rFonts w:ascii="Times New Roman" w:hAnsi="Times New Roman"/>
      <w:sz w:val="24"/>
      <w:szCs w:val="24"/>
      <w:lang w:eastAsia="de-DE"/>
    </w:rPr>
  </w:style>
  <w:style w:type="paragraph" w:styleId="a">
    <w:name w:val="List Bullet"/>
    <w:basedOn w:val="a0"/>
    <w:link w:val="afd"/>
    <w:rsid w:val="00697D19"/>
    <w:pPr>
      <w:widowControl/>
      <w:numPr>
        <w:numId w:val="3"/>
      </w:numPr>
      <w:autoSpaceDE/>
      <w:autoSpaceDN/>
      <w:adjustRightInd/>
      <w:spacing w:after="100" w:line="280" w:lineRule="atLeast"/>
    </w:pPr>
    <w:rPr>
      <w:rFonts w:ascii="Arial" w:eastAsia="SimSun" w:hAnsi="Arial"/>
      <w:sz w:val="22"/>
      <w:lang w:val="x-none" w:eastAsia="zh-CN"/>
    </w:rPr>
  </w:style>
  <w:style w:type="character" w:customStyle="1" w:styleId="afd">
    <w:name w:val="Маркированный список Знак"/>
    <w:link w:val="a"/>
    <w:locked/>
    <w:rsid w:val="00697D19"/>
    <w:rPr>
      <w:rFonts w:ascii="Arial" w:eastAsia="SimSun" w:hAnsi="Arial"/>
      <w:sz w:val="22"/>
      <w:szCs w:val="24"/>
      <w:lang w:val="x-none" w:eastAsia="zh-CN"/>
    </w:rPr>
  </w:style>
  <w:style w:type="character" w:styleId="afe">
    <w:name w:val="Strong"/>
    <w:qFormat/>
    <w:rsid w:val="00697D19"/>
    <w:rPr>
      <w:b/>
      <w:bCs/>
    </w:rPr>
  </w:style>
  <w:style w:type="paragraph" w:customStyle="1" w:styleId="23">
    <w:name w:val="Стиль2"/>
    <w:basedOn w:val="a0"/>
    <w:link w:val="25"/>
    <w:qFormat/>
    <w:rsid w:val="00B20B91"/>
    <w:pPr>
      <w:widowControl/>
      <w:autoSpaceDE/>
      <w:autoSpaceDN/>
      <w:adjustRightInd/>
      <w:spacing w:line="276" w:lineRule="auto"/>
      <w:jc w:val="both"/>
    </w:pPr>
    <w:rPr>
      <w:rFonts w:eastAsia="SimSun"/>
      <w:spacing w:val="-4"/>
      <w:szCs w:val="22"/>
      <w:lang w:val="ru-RU"/>
    </w:rPr>
  </w:style>
  <w:style w:type="character" w:customStyle="1" w:styleId="25">
    <w:name w:val="Стиль2 Знак"/>
    <w:link w:val="23"/>
    <w:rsid w:val="00B20B91"/>
    <w:rPr>
      <w:rFonts w:ascii="Times New Roman" w:eastAsia="SimSun" w:hAnsi="Times New Roman"/>
      <w:spacing w:val="-4"/>
      <w:sz w:val="24"/>
      <w:szCs w:val="22"/>
      <w:lang w:val="ru-RU"/>
    </w:rPr>
  </w:style>
  <w:style w:type="paragraph" w:styleId="aff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CD5757"/>
    <w:pPr>
      <w:autoSpaceDE w:val="0"/>
      <w:autoSpaceDN w:val="0"/>
      <w:adjustRightInd w:val="0"/>
    </w:pPr>
    <w:rPr>
      <w:lang w:val="en-US" w:eastAsia="en-US"/>
    </w:rPr>
  </w:style>
  <w:style w:type="paragraph" w:styleId="1">
    <w:name w:val="heading 1"/>
    <w:basedOn w:val="a0"/>
    <w:next w:val="a0"/>
    <w:link w:val="10"/>
    <w:uiPriority w:val="1"/>
    <w:qFormat/>
    <w:pPr>
      <w:ind w:left="118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1"/>
    <w:qFormat/>
    <w:pPr>
      <w:spacing w:before="2"/>
      <w:ind w:left="118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D054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Body Text"/>
    <w:basedOn w:val="a0"/>
    <w:link w:val="a6"/>
    <w:uiPriority w:val="1"/>
    <w:qFormat/>
    <w:rsid w:val="002753BD"/>
    <w:pPr>
      <w:tabs>
        <w:tab w:val="left" w:pos="2652"/>
        <w:tab w:val="left" w:pos="4330"/>
        <w:tab w:val="left" w:pos="6183"/>
        <w:tab w:val="left" w:pos="8086"/>
      </w:tabs>
      <w:kinsoku w:val="0"/>
      <w:overflowPunct w:val="0"/>
      <w:spacing w:before="53" w:line="247" w:lineRule="auto"/>
      <w:ind w:left="118" w:right="105"/>
    </w:pPr>
    <w:rPr>
      <w:spacing w:val="1"/>
      <w:w w:val="105"/>
      <w:lang w:val="ru-RU"/>
    </w:rPr>
  </w:style>
  <w:style w:type="character" w:customStyle="1" w:styleId="a6">
    <w:name w:val="Основной текст Знак"/>
    <w:link w:val="a5"/>
    <w:uiPriority w:val="1"/>
    <w:rsid w:val="002753BD"/>
    <w:rPr>
      <w:rFonts w:ascii="Times New Roman" w:hAnsi="Times New Roman" w:cs="Times New Roman"/>
      <w:spacing w:val="1"/>
      <w:w w:val="105"/>
      <w:sz w:val="24"/>
      <w:szCs w:val="24"/>
      <w:lang w:val="ru-RU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List Paragraph"/>
    <w:basedOn w:val="a0"/>
    <w:uiPriority w:val="34"/>
    <w:qFormat/>
  </w:style>
  <w:style w:type="paragraph" w:customStyle="1" w:styleId="TableParagraph">
    <w:name w:val="Table Paragraph"/>
    <w:basedOn w:val="a0"/>
    <w:uiPriority w:val="1"/>
    <w:qFormat/>
  </w:style>
  <w:style w:type="paragraph" w:styleId="a8">
    <w:name w:val="No Spacing"/>
    <w:uiPriority w:val="1"/>
    <w:qFormat/>
    <w:rsid w:val="00C66969"/>
    <w:rPr>
      <w:sz w:val="22"/>
      <w:szCs w:val="22"/>
    </w:rPr>
  </w:style>
  <w:style w:type="paragraph" w:styleId="a9">
    <w:name w:val="header"/>
    <w:basedOn w:val="a0"/>
    <w:link w:val="aa"/>
    <w:unhideWhenUsed/>
    <w:rsid w:val="005B52ED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link w:val="a9"/>
    <w:rsid w:val="005B52ED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0"/>
    <w:link w:val="ac"/>
    <w:uiPriority w:val="99"/>
    <w:unhideWhenUsed/>
    <w:rsid w:val="005B52ED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link w:val="ab"/>
    <w:uiPriority w:val="99"/>
    <w:rsid w:val="005B52ED"/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0"/>
    <w:unhideWhenUsed/>
    <w:rsid w:val="0026645F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5Sylfaen0">
    <w:name w:val="Основной текст (5) + Sylfaen_0"/>
    <w:rsid w:val="00E1589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table" w:styleId="ae">
    <w:name w:val="Table Grid"/>
    <w:basedOn w:val="a2"/>
    <w:uiPriority w:val="59"/>
    <w:rsid w:val="00282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Основной текст (18)_"/>
    <w:link w:val="180"/>
    <w:rsid w:val="00282FBE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8Sylfaen">
    <w:name w:val="Основной текст (18) + Sylfaen;Полужирный"/>
    <w:rsid w:val="00282FBE"/>
    <w:rPr>
      <w:rFonts w:ascii="Sylfaen" w:eastAsia="Sylfaen" w:hAnsi="Sylfaen" w:cs="Sylfae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180">
    <w:name w:val="Основной текст (18)"/>
    <w:basedOn w:val="a0"/>
    <w:link w:val="18"/>
    <w:rsid w:val="00282FBE"/>
    <w:pPr>
      <w:shd w:val="clear" w:color="auto" w:fill="FFFFFF"/>
      <w:autoSpaceDE/>
      <w:autoSpaceDN/>
      <w:adjustRightInd/>
      <w:spacing w:after="480" w:line="254" w:lineRule="exact"/>
      <w:jc w:val="both"/>
    </w:pPr>
    <w:rPr>
      <w:sz w:val="22"/>
      <w:szCs w:val="22"/>
      <w:lang w:val="ru-RU" w:eastAsia="zh-CN"/>
    </w:rPr>
  </w:style>
  <w:style w:type="character" w:customStyle="1" w:styleId="60">
    <w:name w:val="Подпись к таблице (6)_"/>
    <w:link w:val="61"/>
    <w:rsid w:val="00901324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61">
    <w:name w:val="Подпись к таблице (6)"/>
    <w:basedOn w:val="a0"/>
    <w:link w:val="60"/>
    <w:rsid w:val="00901324"/>
    <w:pPr>
      <w:shd w:val="clear" w:color="auto" w:fill="FFFFFF"/>
      <w:autoSpaceDE/>
      <w:autoSpaceDN/>
      <w:adjustRightInd/>
      <w:spacing w:line="230" w:lineRule="exact"/>
    </w:pPr>
    <w:rPr>
      <w:rFonts w:ascii="Sylfaen" w:eastAsia="Sylfaen" w:hAnsi="Sylfaen" w:cs="Sylfaen"/>
      <w:sz w:val="18"/>
      <w:szCs w:val="18"/>
      <w:lang w:val="ru-RU" w:eastAsia="zh-CN"/>
    </w:rPr>
  </w:style>
  <w:style w:type="character" w:styleId="af">
    <w:name w:val="annotation reference"/>
    <w:uiPriority w:val="99"/>
    <w:semiHidden/>
    <w:unhideWhenUsed/>
    <w:rsid w:val="00F93AF6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F93AF6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93AF6"/>
    <w:rPr>
      <w:rFonts w:ascii="Times New Roman" w:hAnsi="Times New Roman"/>
      <w:lang w:val="en-US"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3AF6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93AF6"/>
    <w:rPr>
      <w:rFonts w:ascii="Times New Roman" w:hAnsi="Times New Roman"/>
      <w:b/>
      <w:bCs/>
      <w:lang w:val="en-US" w:eastAsia="en-US"/>
    </w:rPr>
  </w:style>
  <w:style w:type="paragraph" w:styleId="af4">
    <w:name w:val="Balloon Text"/>
    <w:basedOn w:val="a0"/>
    <w:link w:val="af5"/>
    <w:uiPriority w:val="99"/>
    <w:semiHidden/>
    <w:unhideWhenUsed/>
    <w:rsid w:val="00F93AF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F93AF6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1525D5"/>
    <w:pPr>
      <w:autoSpaceDE w:val="0"/>
      <w:autoSpaceDN w:val="0"/>
      <w:adjustRightInd w:val="0"/>
    </w:pPr>
    <w:rPr>
      <w:color w:val="000000"/>
      <w:lang w:eastAsia="zh-CN"/>
    </w:rPr>
  </w:style>
  <w:style w:type="character" w:customStyle="1" w:styleId="21">
    <w:name w:val="Основной текст (2)_"/>
    <w:link w:val="22"/>
    <w:locked/>
    <w:rsid w:val="005062E9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5062E9"/>
    <w:pPr>
      <w:shd w:val="clear" w:color="auto" w:fill="FFFFFF"/>
      <w:autoSpaceDE/>
      <w:autoSpaceDN/>
      <w:adjustRightInd/>
      <w:spacing w:line="0" w:lineRule="atLeast"/>
      <w:ind w:hanging="660"/>
    </w:pPr>
    <w:rPr>
      <w:sz w:val="20"/>
      <w:szCs w:val="20"/>
      <w:lang w:val="ru-RU" w:eastAsia="zh-CN"/>
    </w:rPr>
  </w:style>
  <w:style w:type="character" w:customStyle="1" w:styleId="211pt">
    <w:name w:val="Основной текст (2) + 11 pt"/>
    <w:rsid w:val="005062E9"/>
    <w:rPr>
      <w:rFonts w:ascii="Times New Roman" w:hAnsi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 w:eastAsia="en-US" w:bidi="en-US"/>
    </w:rPr>
  </w:style>
  <w:style w:type="character" w:customStyle="1" w:styleId="29pt">
    <w:name w:val="Основной текст (2) + 9 pt"/>
    <w:rsid w:val="00AE0721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295pt">
    <w:name w:val="Основной текст (2) + 9;5 pt;Курсив"/>
    <w:rsid w:val="00AE07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295pt0">
    <w:name w:val="Основной текст (2) + 9;5 pt"/>
    <w:rsid w:val="00874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28pt">
    <w:name w:val="Основной текст (2) + 8 pt"/>
    <w:rsid w:val="00874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styleId="af6">
    <w:name w:val="Hyperlink"/>
    <w:uiPriority w:val="99"/>
    <w:unhideWhenUsed/>
    <w:rsid w:val="00C32A4C"/>
    <w:rPr>
      <w:color w:val="0563C1"/>
      <w:u w:val="single"/>
    </w:rPr>
  </w:style>
  <w:style w:type="paragraph" w:customStyle="1" w:styleId="Style5">
    <w:name w:val="Style5"/>
    <w:basedOn w:val="a0"/>
    <w:uiPriority w:val="99"/>
    <w:rsid w:val="006B29B5"/>
    <w:pPr>
      <w:spacing w:line="274" w:lineRule="exact"/>
      <w:jc w:val="both"/>
    </w:pPr>
    <w:rPr>
      <w:lang w:val="ru-RU" w:eastAsia="ru-RU"/>
    </w:rPr>
  </w:style>
  <w:style w:type="paragraph" w:styleId="af7">
    <w:name w:val="footnote text"/>
    <w:basedOn w:val="a0"/>
    <w:link w:val="af8"/>
    <w:uiPriority w:val="99"/>
    <w:semiHidden/>
    <w:unhideWhenUsed/>
    <w:rsid w:val="00D8518E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D8518E"/>
    <w:rPr>
      <w:rFonts w:ascii="Times New Roman" w:hAnsi="Times New Roman"/>
      <w:lang w:val="en-US" w:eastAsia="en-US"/>
    </w:rPr>
  </w:style>
  <w:style w:type="character" w:styleId="af9">
    <w:name w:val="footnote reference"/>
    <w:uiPriority w:val="99"/>
    <w:semiHidden/>
    <w:unhideWhenUsed/>
    <w:rsid w:val="00D8518E"/>
    <w:rPr>
      <w:vertAlign w:val="superscript"/>
    </w:rPr>
  </w:style>
  <w:style w:type="paragraph" w:styleId="afa">
    <w:name w:val="Revision"/>
    <w:hidden/>
    <w:uiPriority w:val="99"/>
    <w:semiHidden/>
    <w:rsid w:val="00CA466A"/>
    <w:rPr>
      <w:lang w:val="en-US" w:eastAsia="en-US"/>
    </w:rPr>
  </w:style>
  <w:style w:type="character" w:customStyle="1" w:styleId="apple-converted-space">
    <w:name w:val="apple-converted-space"/>
    <w:rsid w:val="00EB0D67"/>
  </w:style>
  <w:style w:type="character" w:customStyle="1" w:styleId="30">
    <w:name w:val="Заголовок 3 Знак"/>
    <w:link w:val="3"/>
    <w:uiPriority w:val="9"/>
    <w:semiHidden/>
    <w:rsid w:val="007D0546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afb">
    <w:name w:val="Основной текст + Полужирный"/>
    <w:rsid w:val="00697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7">
    <w:name w:val="Основной текст7"/>
    <w:rsid w:val="00697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single"/>
      <w:shd w:val="clear" w:color="auto" w:fill="FFFFFF"/>
    </w:rPr>
  </w:style>
  <w:style w:type="character" w:customStyle="1" w:styleId="8">
    <w:name w:val="Основной текст8"/>
    <w:rsid w:val="00697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single"/>
      <w:shd w:val="clear" w:color="auto" w:fill="FFFFFF"/>
    </w:rPr>
  </w:style>
  <w:style w:type="paragraph" w:customStyle="1" w:styleId="24">
    <w:name w:val="Основной текст (2)_4"/>
    <w:basedOn w:val="a0"/>
    <w:rsid w:val="00697D19"/>
    <w:pPr>
      <w:shd w:val="clear" w:color="auto" w:fill="FFFFFF"/>
      <w:autoSpaceDE/>
      <w:autoSpaceDN/>
      <w:adjustRightInd/>
      <w:spacing w:line="0" w:lineRule="atLeast"/>
      <w:ind w:hanging="580"/>
      <w:jc w:val="both"/>
    </w:pPr>
    <w:rPr>
      <w:color w:val="000000"/>
      <w:sz w:val="22"/>
      <w:szCs w:val="22"/>
      <w:lang w:bidi="en-US"/>
    </w:rPr>
  </w:style>
  <w:style w:type="character" w:styleId="afc">
    <w:name w:val="Emphasis"/>
    <w:uiPriority w:val="20"/>
    <w:qFormat/>
    <w:rsid w:val="00697D19"/>
    <w:rPr>
      <w:i/>
      <w:iCs/>
    </w:rPr>
  </w:style>
  <w:style w:type="paragraph" w:customStyle="1" w:styleId="TextTi12">
    <w:name w:val="Text:Ti12"/>
    <w:basedOn w:val="a0"/>
    <w:link w:val="TextTi12Char"/>
    <w:rsid w:val="00697D19"/>
    <w:pPr>
      <w:widowControl/>
      <w:autoSpaceDE/>
      <w:autoSpaceDN/>
      <w:adjustRightInd/>
      <w:spacing w:after="170" w:line="280" w:lineRule="atLeast"/>
      <w:jc w:val="both"/>
    </w:pPr>
    <w:rPr>
      <w:lang w:eastAsia="de-DE"/>
    </w:rPr>
  </w:style>
  <w:style w:type="character" w:customStyle="1" w:styleId="TextTi12Char">
    <w:name w:val="Text:Ti12 Char"/>
    <w:link w:val="TextTi12"/>
    <w:rsid w:val="00697D19"/>
    <w:rPr>
      <w:rFonts w:ascii="Times New Roman" w:hAnsi="Times New Roman"/>
      <w:sz w:val="24"/>
      <w:szCs w:val="24"/>
      <w:lang w:eastAsia="de-DE"/>
    </w:rPr>
  </w:style>
  <w:style w:type="paragraph" w:styleId="a">
    <w:name w:val="List Bullet"/>
    <w:basedOn w:val="a0"/>
    <w:link w:val="afd"/>
    <w:rsid w:val="00697D19"/>
    <w:pPr>
      <w:widowControl/>
      <w:numPr>
        <w:numId w:val="3"/>
      </w:numPr>
      <w:autoSpaceDE/>
      <w:autoSpaceDN/>
      <w:adjustRightInd/>
      <w:spacing w:after="100" w:line="280" w:lineRule="atLeast"/>
    </w:pPr>
    <w:rPr>
      <w:rFonts w:ascii="Arial" w:eastAsia="SimSun" w:hAnsi="Arial"/>
      <w:sz w:val="22"/>
      <w:lang w:val="x-none" w:eastAsia="zh-CN"/>
    </w:rPr>
  </w:style>
  <w:style w:type="character" w:customStyle="1" w:styleId="afd">
    <w:name w:val="Маркированный список Знак"/>
    <w:link w:val="a"/>
    <w:locked/>
    <w:rsid w:val="00697D19"/>
    <w:rPr>
      <w:rFonts w:ascii="Arial" w:eastAsia="SimSun" w:hAnsi="Arial"/>
      <w:sz w:val="22"/>
      <w:szCs w:val="24"/>
      <w:lang w:val="x-none" w:eastAsia="zh-CN"/>
    </w:rPr>
  </w:style>
  <w:style w:type="character" w:styleId="afe">
    <w:name w:val="Strong"/>
    <w:qFormat/>
    <w:rsid w:val="00697D19"/>
    <w:rPr>
      <w:b/>
      <w:bCs/>
    </w:rPr>
  </w:style>
  <w:style w:type="paragraph" w:customStyle="1" w:styleId="23">
    <w:name w:val="Стиль2"/>
    <w:basedOn w:val="a0"/>
    <w:link w:val="25"/>
    <w:qFormat/>
    <w:rsid w:val="00B20B91"/>
    <w:pPr>
      <w:widowControl/>
      <w:autoSpaceDE/>
      <w:autoSpaceDN/>
      <w:adjustRightInd/>
      <w:spacing w:line="276" w:lineRule="auto"/>
      <w:jc w:val="both"/>
    </w:pPr>
    <w:rPr>
      <w:rFonts w:eastAsia="SimSun"/>
      <w:spacing w:val="-4"/>
      <w:szCs w:val="22"/>
      <w:lang w:val="ru-RU"/>
    </w:rPr>
  </w:style>
  <w:style w:type="character" w:customStyle="1" w:styleId="25">
    <w:name w:val="Стиль2 Знак"/>
    <w:link w:val="23"/>
    <w:rsid w:val="00B20B91"/>
    <w:rPr>
      <w:rFonts w:ascii="Times New Roman" w:eastAsia="SimSun" w:hAnsi="Times New Roman"/>
      <w:spacing w:val="-4"/>
      <w:sz w:val="24"/>
      <w:szCs w:val="22"/>
      <w:lang w:val="ru-RU"/>
    </w:rPr>
  </w:style>
  <w:style w:type="paragraph" w:styleId="aff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dda.kz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ndda.kz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77QQsni8oryvCKWPBNoJ38EDrg==">AMUW2mWj2cD51u/D88JC3Fx3y6TDEIQK/lIdCUoEtagdoOcQ/kj8NCbE0ndxhjcilE1h88n6dIatbVqm65AT8VuHpsRXdmL5XglfL5wmwdUJo6Jw3/KxKVZ1cqMdr8W9f143nuVd8Ixr/O7et8tg9jI5FICVyicSPpFuQ8er7SbKaXUNL5MU+OvJIeGJzVBr+eTIm/BUGB0r07QGE8bBUVKHG+k/7YThY875vVXFrTL/VZVcwwQP9H9/J+FXseF4zNGmsSz7iN/aEUpYfnpQAsinmT8EtA8PV05UTz05ZtJLutZTKXmuZI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851419-FD3F-4582-A6C2-5698E767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8731</Words>
  <Characters>49768</Characters>
  <Application>Microsoft Office Word</Application>
  <DocSecurity>0</DocSecurity>
  <Lines>414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58383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 International</dc:creator>
  <cp:lastModifiedBy>Коранова Толганай Сабыровна</cp:lastModifiedBy>
  <cp:revision>12</cp:revision>
  <dcterms:created xsi:type="dcterms:W3CDTF">2022-09-26T06:22:00Z</dcterms:created>
  <dcterms:modified xsi:type="dcterms:W3CDTF">2022-11-28T06:06:00Z</dcterms:modified>
</cp:coreProperties>
</file>