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tblInd w:w="475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930C8C" w:rsidRPr="00F12F90" w14:paraId="1EA562CC" w14:textId="77777777" w:rsidTr="00930C8C">
        <w:tc>
          <w:tcPr>
            <w:tcW w:w="8613" w:type="dxa"/>
            <w:hideMark/>
          </w:tcPr>
          <w:p w14:paraId="027B5683" w14:textId="77777777" w:rsidR="00930C8C" w:rsidRPr="00F12F90" w:rsidRDefault="00930C8C" w:rsidP="00930C8C">
            <w:pPr>
              <w:widowControl w:val="0"/>
              <w:jc w:val="right"/>
              <w:rPr>
                <w:rFonts w:eastAsia="Times New Roman"/>
                <w:b/>
                <w:snapToGrid w:val="0"/>
                <w:lang w:val="ru-RU" w:eastAsia="ru-RU"/>
              </w:rPr>
            </w:pPr>
            <w:r w:rsidRPr="00F12F90">
              <w:rPr>
                <w:rFonts w:eastAsia="Times New Roman"/>
                <w:b/>
                <w:snapToGrid w:val="0"/>
                <w:lang w:val="ru-RU" w:eastAsia="ru-RU"/>
              </w:rPr>
              <w:t>УТВЕРЖДЕНА</w:t>
            </w:r>
          </w:p>
          <w:p w14:paraId="50B29144" w14:textId="77777777" w:rsidR="00930C8C" w:rsidRPr="00F12F90" w:rsidRDefault="00930C8C" w:rsidP="00930C8C">
            <w:pPr>
              <w:autoSpaceDE w:val="0"/>
              <w:autoSpaceDN w:val="0"/>
              <w:jc w:val="right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 xml:space="preserve">Приказом Председателя </w:t>
            </w:r>
          </w:p>
          <w:p w14:paraId="6D7BC7F4" w14:textId="77777777" w:rsidR="00930C8C" w:rsidRPr="00F12F90" w:rsidRDefault="00930C8C" w:rsidP="00930C8C">
            <w:pPr>
              <w:autoSpaceDE w:val="0"/>
              <w:autoSpaceDN w:val="0"/>
              <w:jc w:val="right"/>
              <w:rPr>
                <w:lang w:val="ru-RU"/>
              </w:rPr>
            </w:pPr>
            <w:r w:rsidRPr="00F12F90">
              <w:rPr>
                <w:rFonts w:eastAsia="Times New Roman"/>
                <w:lang w:val="ru-RU" w:eastAsia="ru-RU"/>
              </w:rPr>
              <w:t xml:space="preserve">РГУ «Комитет </w:t>
            </w:r>
            <w:proofErr w:type="gramStart"/>
            <w:r w:rsidRPr="00F12F90">
              <w:rPr>
                <w:lang w:val="ru-RU"/>
              </w:rPr>
              <w:t>медицинского</w:t>
            </w:r>
            <w:proofErr w:type="gramEnd"/>
            <w:r w:rsidRPr="00F12F90">
              <w:rPr>
                <w:lang w:val="ru-RU"/>
              </w:rPr>
              <w:t xml:space="preserve"> </w:t>
            </w:r>
          </w:p>
          <w:p w14:paraId="40B2BBD9" w14:textId="77777777" w:rsidR="00930C8C" w:rsidRPr="00F12F90" w:rsidRDefault="00930C8C" w:rsidP="00930C8C">
            <w:pPr>
              <w:autoSpaceDE w:val="0"/>
              <w:autoSpaceDN w:val="0"/>
              <w:jc w:val="right"/>
              <w:rPr>
                <w:rFonts w:eastAsia="Times New Roman"/>
                <w:lang w:val="ru-RU" w:eastAsia="ru-RU"/>
              </w:rPr>
            </w:pPr>
            <w:r w:rsidRPr="00F12F90">
              <w:rPr>
                <w:lang w:val="ru-RU"/>
              </w:rPr>
              <w:t>и фармацевтического контроля</w:t>
            </w:r>
            <w:r w:rsidRPr="00F12F90" w:rsidDel="002E6A0D">
              <w:rPr>
                <w:lang w:val="ru-RU"/>
              </w:rPr>
              <w:t xml:space="preserve"> </w:t>
            </w:r>
            <w:r w:rsidRPr="00F12F90">
              <w:rPr>
                <w:lang w:val="ru-RU"/>
              </w:rPr>
              <w:t xml:space="preserve"> </w:t>
            </w:r>
          </w:p>
          <w:p w14:paraId="23DD565D" w14:textId="77777777" w:rsidR="00930C8C" w:rsidRPr="00F12F90" w:rsidRDefault="00930C8C" w:rsidP="00930C8C">
            <w:pPr>
              <w:keepNext/>
              <w:autoSpaceDE w:val="0"/>
              <w:autoSpaceDN w:val="0"/>
              <w:jc w:val="right"/>
              <w:outlineLvl w:val="2"/>
              <w:rPr>
                <w:rFonts w:eastAsia="Times New Roman"/>
                <w:bCs/>
                <w:lang w:val="ru-RU" w:eastAsia="ru-RU"/>
              </w:rPr>
            </w:pPr>
            <w:r w:rsidRPr="00F12F90">
              <w:rPr>
                <w:rFonts w:eastAsia="Times New Roman"/>
                <w:bCs/>
                <w:lang w:val="ru-RU" w:eastAsia="ru-RU"/>
              </w:rPr>
              <w:t xml:space="preserve">Министерства здравоохранения </w:t>
            </w:r>
          </w:p>
          <w:p w14:paraId="7D470227" w14:textId="77777777" w:rsidR="00930C8C" w:rsidRPr="00F12F90" w:rsidRDefault="00930C8C" w:rsidP="00930C8C">
            <w:pPr>
              <w:keepNext/>
              <w:autoSpaceDE w:val="0"/>
              <w:autoSpaceDN w:val="0"/>
              <w:jc w:val="right"/>
              <w:outlineLvl w:val="3"/>
              <w:rPr>
                <w:rFonts w:eastAsia="Times New Roman"/>
                <w:bCs/>
                <w:lang w:val="ru-RU" w:eastAsia="ru-RU"/>
              </w:rPr>
            </w:pPr>
            <w:r w:rsidRPr="00F12F90">
              <w:rPr>
                <w:rFonts w:eastAsia="Times New Roman"/>
                <w:bCs/>
                <w:lang w:val="ru-RU" w:eastAsia="ru-RU"/>
              </w:rPr>
              <w:t>Республики Казахстан</w:t>
            </w:r>
            <w:r w:rsidRPr="00F12F90">
              <w:rPr>
                <w:rFonts w:eastAsia="Times New Roman"/>
                <w:lang w:val="ru-RU" w:eastAsia="ru-RU"/>
              </w:rPr>
              <w:t>»</w:t>
            </w:r>
          </w:p>
          <w:p w14:paraId="282A803D" w14:textId="77777777" w:rsidR="00930C8C" w:rsidRPr="00F12F90" w:rsidRDefault="00930C8C" w:rsidP="00930C8C">
            <w:pPr>
              <w:autoSpaceDE w:val="0"/>
              <w:autoSpaceDN w:val="0"/>
              <w:jc w:val="right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от «____»____________20__г.</w:t>
            </w:r>
          </w:p>
          <w:p w14:paraId="0186778F" w14:textId="77777777" w:rsidR="00930C8C" w:rsidRPr="00F12F90" w:rsidRDefault="00930C8C" w:rsidP="00930C8C">
            <w:pPr>
              <w:widowControl w:val="0"/>
              <w:jc w:val="right"/>
              <w:rPr>
                <w:rFonts w:eastAsia="Batang"/>
                <w:snapToGrid w:val="0"/>
                <w:lang w:val="ru-RU" w:eastAsia="ru-RU"/>
              </w:rPr>
            </w:pPr>
            <w:r w:rsidRPr="00F12F90">
              <w:rPr>
                <w:rFonts w:eastAsia="Times New Roman"/>
                <w:snapToGrid w:val="0"/>
                <w:lang w:val="ru-RU" w:eastAsia="ru-RU"/>
              </w:rPr>
              <w:t>№ ______________</w:t>
            </w:r>
          </w:p>
        </w:tc>
      </w:tr>
      <w:tr w:rsidR="00930C8C" w:rsidRPr="00F12F90" w14:paraId="2E9ACBAA" w14:textId="77777777" w:rsidTr="00930C8C">
        <w:tc>
          <w:tcPr>
            <w:tcW w:w="8613" w:type="dxa"/>
          </w:tcPr>
          <w:p w14:paraId="49CBE847" w14:textId="77777777" w:rsidR="00930C8C" w:rsidRPr="00F12F90" w:rsidRDefault="00930C8C" w:rsidP="00906F58">
            <w:pPr>
              <w:autoSpaceDE w:val="0"/>
              <w:autoSpaceDN w:val="0"/>
              <w:jc w:val="both"/>
              <w:rPr>
                <w:rFonts w:eastAsia="Batang"/>
                <w:lang w:val="ru-RU" w:eastAsia="ru-RU"/>
              </w:rPr>
            </w:pPr>
          </w:p>
        </w:tc>
      </w:tr>
    </w:tbl>
    <w:p w14:paraId="6B6AFD11" w14:textId="77777777" w:rsidR="00930C8C" w:rsidRPr="00F12F90" w:rsidRDefault="00930C8C" w:rsidP="00A623DE">
      <w:pPr>
        <w:jc w:val="center"/>
        <w:rPr>
          <w:rFonts w:eastAsia="Times New Roman"/>
          <w:b/>
          <w:lang w:val="ru-RU"/>
        </w:rPr>
      </w:pPr>
    </w:p>
    <w:p w14:paraId="0E8017CA" w14:textId="77777777" w:rsidR="00C753D5" w:rsidRPr="00F12F90" w:rsidRDefault="006232D6" w:rsidP="00A623DE">
      <w:pPr>
        <w:jc w:val="center"/>
        <w:rPr>
          <w:rFonts w:eastAsia="Times New Roman"/>
          <w:b/>
          <w:lang w:val="ru-RU"/>
        </w:rPr>
      </w:pPr>
      <w:r w:rsidRPr="00F12F90">
        <w:rPr>
          <w:rFonts w:eastAsia="Times New Roman"/>
          <w:b/>
          <w:lang w:val="ru-RU"/>
        </w:rPr>
        <w:t>ОБЩАЯ ХАРАКТЕРИСТИКА ЛЕКАРСТВЕННОГО ПРЕПАРАТА</w:t>
      </w:r>
    </w:p>
    <w:p w14:paraId="631D6C5C" w14:textId="77777777" w:rsidR="00634495" w:rsidRPr="00F12F90" w:rsidRDefault="00634495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7AD2E64D" w14:textId="77777777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1. НАИМЕНОВАНИЕ ЛЕКАРСТВЕННОГО ПРЕПАРАТА</w:t>
      </w:r>
    </w:p>
    <w:p w14:paraId="07DA12DC" w14:textId="6F97AE1D" w:rsidR="00C45F77" w:rsidRPr="00F12F90" w:rsidRDefault="00D302EE" w:rsidP="00C45F77">
      <w:pPr>
        <w:widowControl w:val="0"/>
        <w:autoSpaceDE w:val="0"/>
        <w:autoSpaceDN w:val="0"/>
        <w:jc w:val="both"/>
        <w:rPr>
          <w:rFonts w:eastAsia="Times New Roman"/>
          <w:b/>
          <w:bCs/>
          <w:snapToGrid w:val="0"/>
          <w:lang w:val="ru-RU" w:eastAsia="ru-RU"/>
        </w:rPr>
      </w:pPr>
      <w:r w:rsidRPr="00F12F90">
        <w:rPr>
          <w:rFonts w:eastAsia="Times New Roman"/>
          <w:bCs/>
          <w:caps/>
          <w:lang w:val="ru-RU"/>
        </w:rPr>
        <w:t>[</w:t>
      </w:r>
      <w:r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Pr="00F12F90">
        <w:rPr>
          <w:rFonts w:eastAsia="Times New Roman"/>
          <w:bCs/>
          <w:caps/>
          <w:lang w:val="ru-RU"/>
        </w:rPr>
        <w:t>]</w:t>
      </w:r>
      <w:r w:rsidR="00935760" w:rsidRPr="00F12F90">
        <w:rPr>
          <w:lang w:val="ru-RU"/>
        </w:rPr>
        <w:t>,</w:t>
      </w:r>
      <w:r w:rsidR="00935760" w:rsidRPr="00F12F90">
        <w:rPr>
          <w:rFonts w:eastAsia="Times New Roman"/>
          <w:lang w:val="ru-RU" w:eastAsia="ru-RU"/>
        </w:rPr>
        <w:t xml:space="preserve"> </w:t>
      </w:r>
      <w:r w:rsidR="00D53074" w:rsidRPr="00F12F90">
        <w:rPr>
          <w:lang w:val="ru-RU"/>
        </w:rPr>
        <w:t xml:space="preserve">4 мг/мл, </w:t>
      </w:r>
      <w:r w:rsidR="00C45F77" w:rsidRPr="00F12F90">
        <w:rPr>
          <w:lang w:val="ru-RU"/>
        </w:rPr>
        <w:t>ра</w:t>
      </w:r>
      <w:r w:rsidR="00F35993" w:rsidRPr="00F12F90">
        <w:rPr>
          <w:lang w:val="ru-RU"/>
        </w:rPr>
        <w:t xml:space="preserve">створ для инъекций </w:t>
      </w:r>
    </w:p>
    <w:p w14:paraId="54123133" w14:textId="77777777" w:rsidR="00C753D5" w:rsidRPr="00F12F90" w:rsidRDefault="00C753D5" w:rsidP="00D925FF">
      <w:pPr>
        <w:pStyle w:val="a5"/>
        <w:spacing w:line="240" w:lineRule="auto"/>
        <w:rPr>
          <w:b/>
          <w:sz w:val="24"/>
          <w:szCs w:val="24"/>
          <w:lang w:val="ru-RU"/>
        </w:rPr>
      </w:pPr>
    </w:p>
    <w:p w14:paraId="58F662F8" w14:textId="77777777" w:rsidR="006232D6" w:rsidRPr="00F12F90" w:rsidRDefault="006232D6" w:rsidP="004F20C1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2. КАЧЕСТВЕННЫЙ И КОЛИЧЕСТВЕННЫЙ СОСТАВ</w:t>
      </w:r>
    </w:p>
    <w:p w14:paraId="7F3F9E14" w14:textId="77777777" w:rsidR="00757BD8" w:rsidRPr="00F12F90" w:rsidRDefault="00757BD8" w:rsidP="00757BD8">
      <w:pPr>
        <w:shd w:val="clear" w:color="auto" w:fill="FFFFFF"/>
        <w:tabs>
          <w:tab w:val="left" w:pos="720"/>
        </w:tabs>
        <w:jc w:val="both"/>
        <w:rPr>
          <w:lang w:val="ru-RU"/>
        </w:rPr>
      </w:pPr>
      <w:r w:rsidRPr="00F12F90">
        <w:rPr>
          <w:lang w:val="ru-RU"/>
        </w:rPr>
        <w:t xml:space="preserve">2.1 Общее описание </w:t>
      </w:r>
    </w:p>
    <w:p w14:paraId="46A06B3D" w14:textId="6E67788D" w:rsidR="00C45F77" w:rsidRPr="00F12F90" w:rsidRDefault="00D302EE" w:rsidP="00C45F77">
      <w:pPr>
        <w:pStyle w:val="a6"/>
        <w:spacing w:after="0"/>
        <w:jc w:val="both"/>
        <w:rPr>
          <w:sz w:val="24"/>
          <w:szCs w:val="24"/>
        </w:rPr>
      </w:pPr>
      <w:proofErr w:type="spellStart"/>
      <w:r w:rsidRPr="00F12F90">
        <w:rPr>
          <w:sz w:val="24"/>
          <w:szCs w:val="24"/>
        </w:rPr>
        <w:t>Д</w:t>
      </w:r>
      <w:r w:rsidR="00C45F77" w:rsidRPr="00F12F90">
        <w:rPr>
          <w:sz w:val="24"/>
          <w:szCs w:val="24"/>
        </w:rPr>
        <w:t>ексаметазон</w:t>
      </w:r>
      <w:proofErr w:type="spellEnd"/>
    </w:p>
    <w:p w14:paraId="371F5DE8" w14:textId="77777777" w:rsidR="006D4B31" w:rsidRPr="00F12F90" w:rsidRDefault="006D4B31" w:rsidP="006D4B31">
      <w:pPr>
        <w:pStyle w:val="a4"/>
        <w:spacing w:before="0" w:beforeAutospacing="0" w:after="0" w:afterAutospacing="0"/>
        <w:jc w:val="both"/>
        <w:rPr>
          <w:lang w:val="ru-RU"/>
        </w:rPr>
      </w:pPr>
      <w:r w:rsidRPr="00F12F90">
        <w:rPr>
          <w:lang w:val="ru-RU"/>
        </w:rPr>
        <w:t>2.2. Качественный и количественный состав</w:t>
      </w:r>
    </w:p>
    <w:p w14:paraId="4D60C76B" w14:textId="16E3B3D4" w:rsidR="00930C8C" w:rsidRPr="00F12F90" w:rsidRDefault="00930C8C" w:rsidP="00930C8C">
      <w:pPr>
        <w:ind w:left="2552" w:hanging="2552"/>
        <w:jc w:val="both"/>
        <w:rPr>
          <w:rFonts w:eastAsia="Times New Roman"/>
          <w:lang w:val="ru-RU" w:eastAsia="ru-RU"/>
        </w:rPr>
      </w:pPr>
      <w:r w:rsidRPr="00F12F90">
        <w:rPr>
          <w:rFonts w:eastAsia="Times New Roman"/>
          <w:lang w:val="ru-RU" w:eastAsia="ru-RU"/>
        </w:rPr>
        <w:t xml:space="preserve">Одна ампула (1 мл) </w:t>
      </w:r>
      <w:r w:rsidR="00D302EE" w:rsidRPr="00F12F90">
        <w:rPr>
          <w:rFonts w:eastAsia="Times New Roman"/>
          <w:lang w:val="ru-RU" w:eastAsia="ru-RU"/>
        </w:rPr>
        <w:t>препарата содержит</w:t>
      </w:r>
    </w:p>
    <w:p w14:paraId="1D03A052" w14:textId="7F193D1C" w:rsidR="00141D8B" w:rsidRPr="00F12F90" w:rsidRDefault="004F20C1" w:rsidP="00930C8C">
      <w:pPr>
        <w:ind w:left="2552" w:hanging="2552"/>
        <w:jc w:val="both"/>
        <w:rPr>
          <w:lang w:val="ru-RU"/>
        </w:rPr>
      </w:pPr>
      <w:r w:rsidRPr="00F12F90">
        <w:rPr>
          <w:rFonts w:eastAsia="Times New Roman"/>
          <w:i/>
          <w:lang w:val="ru-RU" w:eastAsia="ru-RU"/>
        </w:rPr>
        <w:t>активное вещество</w:t>
      </w:r>
      <w:r w:rsidRPr="00F12F90">
        <w:rPr>
          <w:rFonts w:eastAsia="Times New Roman"/>
          <w:lang w:val="ru-RU" w:eastAsia="ru-RU"/>
        </w:rPr>
        <w:t xml:space="preserve"> - </w:t>
      </w:r>
      <w:r w:rsidR="00200DE0" w:rsidRPr="00F12F90">
        <w:rPr>
          <w:rFonts w:eastAsia="Times New Roman"/>
          <w:lang w:val="ru-RU" w:eastAsia="ru-RU"/>
        </w:rPr>
        <w:t xml:space="preserve"> </w:t>
      </w:r>
      <w:proofErr w:type="spellStart"/>
      <w:r w:rsidR="00930C8C" w:rsidRPr="00F12F90">
        <w:rPr>
          <w:rFonts w:eastAsia="Times New Roman"/>
          <w:lang w:val="ru-RU" w:eastAsia="ru-RU"/>
        </w:rPr>
        <w:t>дексаметазона</w:t>
      </w:r>
      <w:proofErr w:type="spellEnd"/>
      <w:r w:rsidR="00930C8C" w:rsidRPr="00F12F90">
        <w:rPr>
          <w:rFonts w:eastAsia="Times New Roman"/>
          <w:lang w:val="ru-RU" w:eastAsia="ru-RU"/>
        </w:rPr>
        <w:t xml:space="preserve"> фосфат (в виде </w:t>
      </w:r>
      <w:proofErr w:type="spellStart"/>
      <w:r w:rsidR="00930C8C" w:rsidRPr="00F12F90">
        <w:rPr>
          <w:rFonts w:eastAsia="Times New Roman"/>
          <w:lang w:val="ru-RU" w:eastAsia="ru-RU"/>
        </w:rPr>
        <w:t>дексаметазона</w:t>
      </w:r>
      <w:proofErr w:type="spellEnd"/>
      <w:r w:rsidR="00930C8C" w:rsidRPr="00F12F90">
        <w:rPr>
          <w:rFonts w:eastAsia="Times New Roman"/>
          <w:lang w:val="ru-RU" w:eastAsia="ru-RU"/>
        </w:rPr>
        <w:t xml:space="preserve"> фосфата натрия) – 4 мг (4.37 мг).</w:t>
      </w:r>
      <w:r w:rsidR="00930C8C" w:rsidRPr="00F12F90">
        <w:rPr>
          <w:lang w:val="ru-RU"/>
        </w:rPr>
        <w:t xml:space="preserve"> </w:t>
      </w:r>
    </w:p>
    <w:p w14:paraId="5A388B01" w14:textId="77777777" w:rsidR="00D302EE" w:rsidRPr="00F12F90" w:rsidRDefault="00D302EE" w:rsidP="00D302EE">
      <w:pPr>
        <w:rPr>
          <w:iCs/>
          <w:lang w:val="ru-RU"/>
        </w:rPr>
      </w:pPr>
      <w:r w:rsidRPr="00F12F90">
        <w:rPr>
          <w:iCs/>
          <w:lang w:val="ru-RU" w:eastAsia="ru-RU"/>
        </w:rPr>
        <w:t xml:space="preserve">Вспомогательные вещества, наличие которых надо учитывать в составе лекарственного препарата: </w:t>
      </w:r>
      <w:r w:rsidRPr="00F12F90">
        <w:rPr>
          <w:bCs/>
          <w:caps/>
          <w:highlight w:val="lightGray"/>
          <w:lang w:val="ru-RU"/>
        </w:rPr>
        <w:t>[согласно НД РК и приложения 17 Приказа 10]</w:t>
      </w:r>
      <w:r w:rsidRPr="00F12F90">
        <w:rPr>
          <w:bCs/>
          <w:noProof/>
          <w:lang w:val="ru-RU"/>
        </w:rPr>
        <w:t xml:space="preserve"> </w:t>
      </w:r>
      <w:r w:rsidRPr="00F12F90">
        <w:rPr>
          <w:noProof/>
          <w:lang w:val="ru-RU"/>
        </w:rPr>
        <w:t xml:space="preserve"> </w:t>
      </w:r>
    </w:p>
    <w:p w14:paraId="40B304C4" w14:textId="6FEC84A6" w:rsidR="004F20C1" w:rsidRPr="00F12F90" w:rsidRDefault="00634495" w:rsidP="00200DE0">
      <w:pPr>
        <w:jc w:val="both"/>
        <w:rPr>
          <w:lang w:val="ru-RU"/>
        </w:rPr>
      </w:pPr>
      <w:r w:rsidRPr="00F12F90">
        <w:rPr>
          <w:iCs/>
          <w:lang w:val="ru-RU" w:eastAsia="ru-RU"/>
        </w:rPr>
        <w:t>Полный список вспомогательных веществ см. в пункте 6.1</w:t>
      </w:r>
      <w:r w:rsidR="00EC007A" w:rsidRPr="00F12F90">
        <w:rPr>
          <w:iCs/>
          <w:lang w:val="ru-RU" w:eastAsia="ru-RU"/>
        </w:rPr>
        <w:t>.</w:t>
      </w:r>
    </w:p>
    <w:p w14:paraId="2ECAA6C0" w14:textId="77777777" w:rsidR="00634495" w:rsidRPr="00F12F90" w:rsidRDefault="00634495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2F6BDB88" w14:textId="77777777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3. ЛЕКАРСТВЕННАЯ ФОРМА</w:t>
      </w:r>
    </w:p>
    <w:p w14:paraId="57D1CAB2" w14:textId="631D1100" w:rsidR="00C45F77" w:rsidRPr="00F12F90" w:rsidRDefault="00F35993" w:rsidP="00C45F77">
      <w:pPr>
        <w:widowControl w:val="0"/>
        <w:autoSpaceDE w:val="0"/>
        <w:autoSpaceDN w:val="0"/>
        <w:jc w:val="both"/>
        <w:rPr>
          <w:rFonts w:eastAsia="Times New Roman"/>
          <w:b/>
          <w:bCs/>
          <w:snapToGrid w:val="0"/>
          <w:lang w:val="ru-RU" w:eastAsia="ru-RU"/>
        </w:rPr>
      </w:pPr>
      <w:r w:rsidRPr="00F12F90">
        <w:rPr>
          <w:lang w:val="ru-RU"/>
        </w:rPr>
        <w:t>Раствор для инъекций.</w:t>
      </w:r>
    </w:p>
    <w:p w14:paraId="7EC612F3" w14:textId="77777777" w:rsidR="005158E7" w:rsidRPr="00F12F90" w:rsidRDefault="005158E7" w:rsidP="005158E7">
      <w:pPr>
        <w:ind w:right="-2"/>
        <w:jc w:val="both"/>
        <w:rPr>
          <w:lang w:val="ru-RU"/>
        </w:rPr>
      </w:pPr>
      <w:r w:rsidRPr="00F12F90">
        <w:rPr>
          <w:lang w:val="ru-RU"/>
        </w:rPr>
        <w:t>[ОПИСАНИЕ СОГЛАСНО НД РК]</w:t>
      </w:r>
    </w:p>
    <w:p w14:paraId="618456AE" w14:textId="77777777" w:rsidR="00C753D5" w:rsidRPr="00F12F90" w:rsidRDefault="00C753D5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2CFE480C" w14:textId="77777777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 КЛИНИЧЕСКИЕ ДАННЫЕ</w:t>
      </w:r>
    </w:p>
    <w:p w14:paraId="321ED159" w14:textId="7E388FF8" w:rsidR="006232D6" w:rsidRPr="00F12F90" w:rsidRDefault="006D4B31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4.1. Показания к применению</w:t>
      </w:r>
    </w:p>
    <w:p w14:paraId="06990299" w14:textId="468A563B" w:rsidR="005B7016" w:rsidRPr="00F12F90" w:rsidRDefault="00CE5E61" w:rsidP="00D925FF">
      <w:pPr>
        <w:pStyle w:val="a4"/>
        <w:spacing w:before="0" w:beforeAutospacing="0" w:after="0" w:afterAutospacing="0"/>
        <w:jc w:val="both"/>
        <w:rPr>
          <w:b/>
          <w:color w:val="FF0000"/>
          <w:lang w:val="ru-RU"/>
        </w:rPr>
      </w:pPr>
      <w:r w:rsidRPr="00F12F90">
        <w:rPr>
          <w:b/>
          <w:lang w:val="ru-RU"/>
        </w:rPr>
        <w:t>Системное применение</w:t>
      </w:r>
    </w:p>
    <w:p w14:paraId="26597E75" w14:textId="2296FD84" w:rsidR="0033541C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о</w:t>
      </w:r>
      <w:r w:rsidR="0033541C" w:rsidRPr="00F12F90">
        <w:rPr>
          <w:lang w:val="ru-RU"/>
        </w:rPr>
        <w:t>тек головного мозга (при опухолях, нейрохирургическом вмешательстве, абсцессе головного мозга, черепно-мозговой травме, бактериальном менингите</w:t>
      </w:r>
      <w:r w:rsidRPr="00F12F90">
        <w:rPr>
          <w:lang w:val="ru-RU"/>
        </w:rPr>
        <w:t>)</w:t>
      </w:r>
    </w:p>
    <w:p w14:paraId="52550E44" w14:textId="03997E1A" w:rsidR="0033541C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п</w:t>
      </w:r>
      <w:r w:rsidR="00CD0D60" w:rsidRPr="00F12F90">
        <w:rPr>
          <w:lang w:val="ru-RU"/>
        </w:rPr>
        <w:t>осттравматич</w:t>
      </w:r>
      <w:r w:rsidR="009F2C6D" w:rsidRPr="00F12F90">
        <w:rPr>
          <w:lang w:val="ru-RU"/>
        </w:rPr>
        <w:t>е</w:t>
      </w:r>
      <w:r w:rsidR="00CD0D60" w:rsidRPr="00F12F90">
        <w:rPr>
          <w:lang w:val="ru-RU"/>
        </w:rPr>
        <w:t>с</w:t>
      </w:r>
      <w:r w:rsidR="009F2C6D" w:rsidRPr="00F12F90">
        <w:rPr>
          <w:lang w:val="ru-RU"/>
        </w:rPr>
        <w:t xml:space="preserve">кий шок/профилактика </w:t>
      </w:r>
      <w:r w:rsidR="00B81A6A" w:rsidRPr="00F12F90">
        <w:rPr>
          <w:lang w:val="ru-RU"/>
        </w:rPr>
        <w:t>посттравматического шока легких</w:t>
      </w:r>
    </w:p>
    <w:p w14:paraId="241136A6" w14:textId="1344953F" w:rsidR="0033541C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т</w:t>
      </w:r>
      <w:r w:rsidR="00CD0D60" w:rsidRPr="00F12F90">
        <w:rPr>
          <w:lang w:val="ru-RU"/>
        </w:rPr>
        <w:t>яжелый ос</w:t>
      </w:r>
      <w:r w:rsidRPr="00F12F90">
        <w:rPr>
          <w:lang w:val="ru-RU"/>
        </w:rPr>
        <w:t>трый приступ бронхиальной астмы</w:t>
      </w:r>
    </w:p>
    <w:p w14:paraId="1AB4F89A" w14:textId="7F126B51" w:rsidR="00CD0D60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п</w:t>
      </w:r>
      <w:r w:rsidR="00CD0D60" w:rsidRPr="00F12F90">
        <w:rPr>
          <w:lang w:val="ru-RU"/>
        </w:rPr>
        <w:t>ервичное парентеральное лечение обширных острых тяжелых кожных заболеваний (эритродермия, вульга</w:t>
      </w:r>
      <w:r w:rsidRPr="00F12F90">
        <w:rPr>
          <w:lang w:val="ru-RU"/>
        </w:rPr>
        <w:t>рная пузырчатка, острая экзема)</w:t>
      </w:r>
    </w:p>
    <w:p w14:paraId="436A4004" w14:textId="69DDC939" w:rsidR="0033541C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п</w:t>
      </w:r>
      <w:r w:rsidR="00CD0D60" w:rsidRPr="00F12F90">
        <w:rPr>
          <w:lang w:val="ru-RU"/>
        </w:rPr>
        <w:t xml:space="preserve">ервичное парентеральное лечение </w:t>
      </w:r>
      <w:r w:rsidR="009E6462" w:rsidRPr="00F12F90">
        <w:rPr>
          <w:lang w:val="ru-RU"/>
        </w:rPr>
        <w:t>аутоиммунных заболеваний, таких как</w:t>
      </w:r>
      <w:r w:rsidR="00CD0D60" w:rsidRPr="00F12F90">
        <w:rPr>
          <w:lang w:val="ru-RU"/>
        </w:rPr>
        <w:t xml:space="preserve"> </w:t>
      </w:r>
      <w:r w:rsidR="009E6462" w:rsidRPr="00F12F90">
        <w:rPr>
          <w:lang w:val="ru-RU"/>
        </w:rPr>
        <w:t xml:space="preserve">системная </w:t>
      </w:r>
      <w:r w:rsidR="00CD0D60" w:rsidRPr="00F12F90">
        <w:rPr>
          <w:lang w:val="ru-RU"/>
        </w:rPr>
        <w:t>красная волчанка</w:t>
      </w:r>
      <w:r w:rsidRPr="00F12F90">
        <w:rPr>
          <w:lang w:val="ru-RU"/>
        </w:rPr>
        <w:t xml:space="preserve"> (особенно висцеральных форм)</w:t>
      </w:r>
    </w:p>
    <w:p w14:paraId="0DF5DF6D" w14:textId="3C58DF2B" w:rsidR="009E6462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а</w:t>
      </w:r>
      <w:r w:rsidR="009E6462" w:rsidRPr="00F12F90">
        <w:rPr>
          <w:lang w:val="ru-RU"/>
        </w:rPr>
        <w:t>ктивный ревматоидный артрит с тяжелым прогрессирующим течением</w:t>
      </w:r>
      <w:r w:rsidR="00313BCB" w:rsidRPr="00F12F90">
        <w:rPr>
          <w:lang w:val="ru-RU"/>
        </w:rPr>
        <w:t xml:space="preserve">, </w:t>
      </w:r>
      <w:r w:rsidR="00DE4013" w:rsidRPr="00F12F90">
        <w:rPr>
          <w:lang w:val="ru-RU"/>
        </w:rPr>
        <w:t>например,</w:t>
      </w:r>
      <w:r w:rsidR="00313BCB" w:rsidRPr="00F12F90">
        <w:rPr>
          <w:lang w:val="ru-RU"/>
        </w:rPr>
        <w:t xml:space="preserve"> </w:t>
      </w:r>
      <w:r w:rsidR="00B909D9" w:rsidRPr="00F12F90">
        <w:rPr>
          <w:lang w:val="ru-RU"/>
        </w:rPr>
        <w:t>тяжелые</w:t>
      </w:r>
      <w:r w:rsidR="00775F57" w:rsidRPr="00F12F90">
        <w:rPr>
          <w:lang w:val="ru-RU"/>
        </w:rPr>
        <w:t xml:space="preserve"> де</w:t>
      </w:r>
      <w:r w:rsidR="00313BCB" w:rsidRPr="00F12F90">
        <w:rPr>
          <w:lang w:val="ru-RU"/>
        </w:rPr>
        <w:t>структивные формы и/или фор</w:t>
      </w:r>
      <w:r w:rsidRPr="00F12F90">
        <w:rPr>
          <w:lang w:val="ru-RU"/>
        </w:rPr>
        <w:t>мы с внесуставными проявлениями</w:t>
      </w:r>
    </w:p>
    <w:p w14:paraId="220324DC" w14:textId="6441D173" w:rsidR="00313BCB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т</w:t>
      </w:r>
      <w:r w:rsidR="00313BCB" w:rsidRPr="00F12F90">
        <w:rPr>
          <w:lang w:val="ru-RU"/>
        </w:rPr>
        <w:t>яжелые инфекционные заболевания с токсическими состояниями (например, туберкулез, брюшной тиф, бруцеллез) только при одновремен</w:t>
      </w:r>
      <w:r w:rsidRPr="00F12F90">
        <w:rPr>
          <w:lang w:val="ru-RU"/>
        </w:rPr>
        <w:t xml:space="preserve">ной </w:t>
      </w:r>
      <w:proofErr w:type="spellStart"/>
      <w:r w:rsidRPr="00F12F90">
        <w:rPr>
          <w:lang w:val="ru-RU"/>
        </w:rPr>
        <w:t>противоинфекционной</w:t>
      </w:r>
      <w:proofErr w:type="spellEnd"/>
      <w:r w:rsidRPr="00F12F90">
        <w:rPr>
          <w:lang w:val="ru-RU"/>
        </w:rPr>
        <w:t xml:space="preserve"> терапии</w:t>
      </w:r>
    </w:p>
    <w:p w14:paraId="40BB2CD9" w14:textId="45C80DA2" w:rsidR="009E6462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п</w:t>
      </w:r>
      <w:r w:rsidR="005B7016" w:rsidRPr="00F12F90">
        <w:rPr>
          <w:lang w:val="ru-RU"/>
        </w:rPr>
        <w:t>аллиативная терапия злокачественных опухолей</w:t>
      </w:r>
    </w:p>
    <w:p w14:paraId="6DD4EC23" w14:textId="5E5B0E65" w:rsidR="005B7016" w:rsidRPr="00F12F90" w:rsidRDefault="0038277B" w:rsidP="00D302EE">
      <w:pPr>
        <w:pStyle w:val="aa"/>
        <w:ind w:left="0"/>
        <w:jc w:val="both"/>
        <w:rPr>
          <w:lang w:val="ru-RU"/>
        </w:rPr>
      </w:pPr>
      <w:r w:rsidRPr="00F12F90">
        <w:rPr>
          <w:lang w:val="ru-RU"/>
        </w:rPr>
        <w:t>- п</w:t>
      </w:r>
      <w:r w:rsidR="005B7016" w:rsidRPr="00F12F90">
        <w:rPr>
          <w:lang w:val="ru-RU"/>
        </w:rPr>
        <w:t xml:space="preserve">рофилактика и лечение послеоперационной рвоты или рвоты, вызванной </w:t>
      </w:r>
      <w:proofErr w:type="spellStart"/>
      <w:r w:rsidR="005B7016" w:rsidRPr="00F12F90">
        <w:rPr>
          <w:lang w:val="ru-RU"/>
        </w:rPr>
        <w:t>цитостатиками</w:t>
      </w:r>
      <w:proofErr w:type="spellEnd"/>
      <w:r w:rsidR="005B7016" w:rsidRPr="00F12F90">
        <w:rPr>
          <w:lang w:val="ru-RU"/>
        </w:rPr>
        <w:t xml:space="preserve"> в рам</w:t>
      </w:r>
      <w:r w:rsidRPr="00F12F90">
        <w:rPr>
          <w:lang w:val="ru-RU"/>
        </w:rPr>
        <w:t>ках соответс</w:t>
      </w:r>
      <w:r w:rsidR="00F12F90">
        <w:rPr>
          <w:lang w:val="ru-RU"/>
        </w:rPr>
        <w:t>т</w:t>
      </w:r>
      <w:r w:rsidRPr="00F12F90">
        <w:rPr>
          <w:lang w:val="ru-RU"/>
        </w:rPr>
        <w:t>вующих схем лечения</w:t>
      </w:r>
    </w:p>
    <w:p w14:paraId="7171E378" w14:textId="527D936C" w:rsidR="00F836A7" w:rsidRPr="00F12F90" w:rsidRDefault="0038277B" w:rsidP="0033541C">
      <w:pPr>
        <w:pStyle w:val="aa"/>
        <w:ind w:left="0"/>
        <w:jc w:val="both"/>
        <w:rPr>
          <w:lang w:val="ru-RU"/>
        </w:rPr>
      </w:pPr>
      <w:r w:rsidRPr="00F12F90">
        <w:rPr>
          <w:rFonts w:eastAsia="Times New Roman"/>
          <w:bCs/>
          <w:caps/>
          <w:lang w:val="ru-RU"/>
        </w:rPr>
        <w:lastRenderedPageBreak/>
        <w:t>[</w:t>
      </w:r>
      <w:r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Pr="00F12F90">
        <w:rPr>
          <w:rFonts w:eastAsia="Times New Roman"/>
          <w:bCs/>
          <w:caps/>
          <w:lang w:val="ru-RU"/>
        </w:rPr>
        <w:t>]</w:t>
      </w:r>
      <w:r w:rsidR="008E6C52" w:rsidRPr="00F12F90">
        <w:rPr>
          <w:lang w:val="ru-RU"/>
        </w:rPr>
        <w:t>, раствор</w:t>
      </w:r>
      <w:r w:rsidR="005B7016" w:rsidRPr="00F12F90">
        <w:rPr>
          <w:lang w:val="ru-RU"/>
        </w:rPr>
        <w:t xml:space="preserve"> для инъекций 4 мг/мл используется для лечения</w:t>
      </w:r>
      <w:r w:rsidR="00F836A7" w:rsidRPr="00F12F90">
        <w:rPr>
          <w:lang w:val="ru-RU"/>
        </w:rPr>
        <w:t xml:space="preserve"> инфекции COVID-19, требующей дополнительной </w:t>
      </w:r>
      <w:proofErr w:type="spellStart"/>
      <w:r w:rsidR="00F836A7" w:rsidRPr="00F12F90">
        <w:rPr>
          <w:lang w:val="ru-RU"/>
        </w:rPr>
        <w:t>оксигенации</w:t>
      </w:r>
      <w:proofErr w:type="spellEnd"/>
      <w:r w:rsidR="00F836A7" w:rsidRPr="00F12F90">
        <w:rPr>
          <w:lang w:val="ru-RU"/>
        </w:rPr>
        <w:t xml:space="preserve">, у </w:t>
      </w:r>
      <w:r w:rsidR="005B7016" w:rsidRPr="00F12F90">
        <w:rPr>
          <w:lang w:val="ru-RU"/>
        </w:rPr>
        <w:t>взрослых и подростков (в возрасте не менее 12 лет и весом не менее 40 кг)</w:t>
      </w:r>
      <w:r w:rsidR="00DE4013" w:rsidRPr="00F12F90">
        <w:rPr>
          <w:lang w:val="ru-RU"/>
        </w:rPr>
        <w:t>.</w:t>
      </w:r>
    </w:p>
    <w:p w14:paraId="21D8FE7E" w14:textId="5685972E" w:rsidR="00CD0D60" w:rsidRPr="00F12F90" w:rsidRDefault="00CE5E61" w:rsidP="0033541C">
      <w:pPr>
        <w:pStyle w:val="aa"/>
        <w:ind w:left="0"/>
        <w:jc w:val="both"/>
        <w:rPr>
          <w:b/>
          <w:lang w:val="ru-RU"/>
        </w:rPr>
      </w:pPr>
      <w:r w:rsidRPr="00F12F90">
        <w:rPr>
          <w:b/>
          <w:lang w:val="ru-RU"/>
        </w:rPr>
        <w:t>Местное применение</w:t>
      </w:r>
    </w:p>
    <w:p w14:paraId="16DA1A1F" w14:textId="10FCD7D4" w:rsidR="00F836A7" w:rsidRPr="00F12F90" w:rsidRDefault="0038277B" w:rsidP="00F836A7">
      <w:pPr>
        <w:jc w:val="both"/>
        <w:rPr>
          <w:lang w:val="ru-RU"/>
        </w:rPr>
      </w:pPr>
      <w:r w:rsidRPr="00F12F90">
        <w:rPr>
          <w:lang w:val="ru-RU"/>
        </w:rPr>
        <w:t>- в</w:t>
      </w:r>
      <w:r w:rsidR="00F836A7" w:rsidRPr="00F12F90">
        <w:rPr>
          <w:lang w:val="ru-RU"/>
        </w:rPr>
        <w:t xml:space="preserve">нутрисуставные инъекции: стойкое воспаление в одном или нескольких суставах после общего лечения хронических воспалительных заболеваний суставов, активированный артроз, острые формы </w:t>
      </w:r>
      <w:proofErr w:type="spellStart"/>
      <w:r w:rsidR="00F836A7" w:rsidRPr="00F12F90">
        <w:rPr>
          <w:lang w:val="ru-RU"/>
        </w:rPr>
        <w:t>плечелопаточной</w:t>
      </w:r>
      <w:proofErr w:type="spellEnd"/>
      <w:r w:rsidR="00F836A7" w:rsidRPr="00F12F90">
        <w:rPr>
          <w:lang w:val="ru-RU"/>
        </w:rPr>
        <w:t xml:space="preserve"> </w:t>
      </w:r>
      <w:proofErr w:type="spellStart"/>
      <w:r w:rsidR="00F836A7" w:rsidRPr="00F12F90">
        <w:rPr>
          <w:lang w:val="ru-RU"/>
        </w:rPr>
        <w:t>периартропатии</w:t>
      </w:r>
      <w:proofErr w:type="spellEnd"/>
      <w:r w:rsidR="00F836A7" w:rsidRPr="00F12F90">
        <w:rPr>
          <w:lang w:val="ru-RU"/>
        </w:rPr>
        <w:t xml:space="preserve"> </w:t>
      </w:r>
    </w:p>
    <w:p w14:paraId="337511CF" w14:textId="242152E9" w:rsidR="00F836A7" w:rsidRPr="00F12F90" w:rsidRDefault="0038277B" w:rsidP="00F836A7">
      <w:pPr>
        <w:jc w:val="both"/>
        <w:rPr>
          <w:lang w:val="ru-RU"/>
        </w:rPr>
      </w:pPr>
      <w:r w:rsidRPr="00F12F90">
        <w:rPr>
          <w:lang w:val="ru-RU"/>
        </w:rPr>
        <w:t>- и</w:t>
      </w:r>
      <w:r w:rsidR="00F836A7" w:rsidRPr="00F12F90">
        <w:rPr>
          <w:lang w:val="ru-RU"/>
        </w:rPr>
        <w:t xml:space="preserve">нфильтрационная терапия (строгие показания): </w:t>
      </w:r>
      <w:proofErr w:type="spellStart"/>
      <w:r w:rsidR="00F836A7" w:rsidRPr="00F12F90">
        <w:rPr>
          <w:lang w:val="ru-RU"/>
        </w:rPr>
        <w:t>небактериальные</w:t>
      </w:r>
      <w:proofErr w:type="spellEnd"/>
      <w:r w:rsidR="00F836A7" w:rsidRPr="00F12F90">
        <w:rPr>
          <w:lang w:val="ru-RU"/>
        </w:rPr>
        <w:t xml:space="preserve"> тендовагиниты и бурситы, </w:t>
      </w:r>
      <w:proofErr w:type="spellStart"/>
      <w:r w:rsidR="00F836A7" w:rsidRPr="00F12F90">
        <w:rPr>
          <w:lang w:val="ru-RU"/>
        </w:rPr>
        <w:t>периартр</w:t>
      </w:r>
      <w:r w:rsidRPr="00F12F90">
        <w:rPr>
          <w:lang w:val="ru-RU"/>
        </w:rPr>
        <w:t>опатии</w:t>
      </w:r>
      <w:proofErr w:type="spell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инсерционные</w:t>
      </w:r>
      <w:proofErr w:type="spell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тендопатии</w:t>
      </w:r>
      <w:proofErr w:type="spellEnd"/>
    </w:p>
    <w:p w14:paraId="61AB72AC" w14:textId="62B63330" w:rsidR="00F836A7" w:rsidRPr="00F12F90" w:rsidRDefault="0038277B" w:rsidP="00F836A7">
      <w:pPr>
        <w:jc w:val="both"/>
        <w:rPr>
          <w:lang w:val="ru-RU"/>
        </w:rPr>
      </w:pPr>
      <w:r w:rsidRPr="00F12F90">
        <w:rPr>
          <w:lang w:val="ru-RU"/>
        </w:rPr>
        <w:t>- о</w:t>
      </w:r>
      <w:r w:rsidR="00465460" w:rsidRPr="00F12F90">
        <w:rPr>
          <w:lang w:val="ru-RU"/>
        </w:rPr>
        <w:t xml:space="preserve">фтальмология: </w:t>
      </w:r>
      <w:proofErr w:type="spellStart"/>
      <w:r w:rsidR="00F836A7" w:rsidRPr="00F12F90">
        <w:rPr>
          <w:lang w:val="ru-RU"/>
        </w:rPr>
        <w:t>субконъюнктивальное</w:t>
      </w:r>
      <w:proofErr w:type="spellEnd"/>
      <w:r w:rsidR="00F836A7" w:rsidRPr="00F12F90">
        <w:rPr>
          <w:lang w:val="ru-RU"/>
        </w:rPr>
        <w:t xml:space="preserve"> применение при неинфекционном </w:t>
      </w:r>
      <w:proofErr w:type="spellStart"/>
      <w:r w:rsidR="00F836A7" w:rsidRPr="00F12F90">
        <w:rPr>
          <w:lang w:val="ru-RU"/>
        </w:rPr>
        <w:t>кератоконъюнктивите</w:t>
      </w:r>
      <w:proofErr w:type="spellEnd"/>
      <w:r w:rsidR="00F836A7" w:rsidRPr="00F12F90">
        <w:rPr>
          <w:lang w:val="ru-RU"/>
        </w:rPr>
        <w:t xml:space="preserve">, склерите (за исключением </w:t>
      </w:r>
      <w:proofErr w:type="spellStart"/>
      <w:r w:rsidR="00F836A7" w:rsidRPr="00F12F90">
        <w:rPr>
          <w:lang w:val="ru-RU"/>
        </w:rPr>
        <w:t>некротизирующего</w:t>
      </w:r>
      <w:proofErr w:type="spellEnd"/>
      <w:r w:rsidR="00F836A7" w:rsidRPr="00F12F90">
        <w:rPr>
          <w:lang w:val="ru-RU"/>
        </w:rPr>
        <w:t xml:space="preserve"> склерита), </w:t>
      </w:r>
      <w:r w:rsidRPr="00F12F90">
        <w:rPr>
          <w:lang w:val="ru-RU"/>
        </w:rPr>
        <w:t xml:space="preserve">переднем и промежуточном </w:t>
      </w:r>
      <w:proofErr w:type="spellStart"/>
      <w:r w:rsidRPr="00F12F90">
        <w:rPr>
          <w:lang w:val="ru-RU"/>
        </w:rPr>
        <w:t>увеите</w:t>
      </w:r>
      <w:proofErr w:type="spellEnd"/>
    </w:p>
    <w:p w14:paraId="7AB4E102" w14:textId="77777777" w:rsidR="00935760" w:rsidRPr="00F12F90" w:rsidRDefault="00935760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0829110D" w14:textId="435F4050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 xml:space="preserve">4.2. Режим </w:t>
      </w:r>
      <w:r w:rsidR="00B37CC1" w:rsidRPr="00F12F90">
        <w:rPr>
          <w:b/>
          <w:lang w:val="ru-RU"/>
        </w:rPr>
        <w:t>дозирования и способ применения</w:t>
      </w:r>
    </w:p>
    <w:p w14:paraId="7E0AE559" w14:textId="75BE02BB" w:rsidR="00B37CC1" w:rsidRPr="00F12F90" w:rsidRDefault="00B37CC1" w:rsidP="008016B4">
      <w:pPr>
        <w:jc w:val="both"/>
        <w:rPr>
          <w:b/>
          <w:lang w:val="ru-RU"/>
        </w:rPr>
      </w:pPr>
      <w:r w:rsidRPr="00F12F90">
        <w:rPr>
          <w:b/>
          <w:lang w:val="ru-RU"/>
        </w:rPr>
        <w:t>Режим дозирования</w:t>
      </w:r>
    </w:p>
    <w:p w14:paraId="5BAD9E26" w14:textId="77777777" w:rsidR="00716B87" w:rsidRPr="00F12F90" w:rsidRDefault="00716B87" w:rsidP="00716B87">
      <w:pPr>
        <w:jc w:val="both"/>
        <w:rPr>
          <w:lang w:val="ru-RU"/>
        </w:rPr>
      </w:pPr>
      <w:r w:rsidRPr="00F12F90">
        <w:rPr>
          <w:lang w:val="ru-RU"/>
        </w:rPr>
        <w:t xml:space="preserve">Величина дозировки зависит от типа и тяжести заболевания, а также от индивидуальной реакции пациента на терапию. Как правило, применяют относительно высокие начальные дозы, которые должны быть значительно выше при острых, тяжелых формах, чем при хронических заболеваниях. </w:t>
      </w:r>
    </w:p>
    <w:p w14:paraId="7247156D" w14:textId="79A8A59E" w:rsidR="00716B87" w:rsidRPr="00F12F90" w:rsidRDefault="00716B87" w:rsidP="00716B87">
      <w:pPr>
        <w:jc w:val="both"/>
        <w:rPr>
          <w:lang w:val="ru-RU"/>
        </w:rPr>
      </w:pPr>
      <w:r w:rsidRPr="00F12F90">
        <w:rPr>
          <w:lang w:val="ru-RU"/>
        </w:rPr>
        <w:t>Если не указано иное, применяются следующие рекомендации по</w:t>
      </w:r>
      <w:r w:rsidR="00493BCA" w:rsidRPr="00F12F90">
        <w:rPr>
          <w:lang w:val="ru-RU"/>
        </w:rPr>
        <w:t xml:space="preserve"> дозировке.</w:t>
      </w:r>
    </w:p>
    <w:p w14:paraId="362BC133" w14:textId="79402899" w:rsidR="00493BCA" w:rsidRPr="00F12F90" w:rsidRDefault="00F10DDF" w:rsidP="008016B4">
      <w:pPr>
        <w:jc w:val="both"/>
        <w:rPr>
          <w:lang w:val="ru-RU"/>
        </w:rPr>
      </w:pPr>
      <w:r w:rsidRPr="00F12F90">
        <w:rPr>
          <w:b/>
          <w:lang w:val="ru-RU"/>
        </w:rPr>
        <w:t>Системное применение</w:t>
      </w:r>
    </w:p>
    <w:p w14:paraId="661AAA24" w14:textId="368D7627" w:rsidR="00814DDB" w:rsidRPr="00F12F90" w:rsidRDefault="00493BCA" w:rsidP="008016B4">
      <w:pPr>
        <w:jc w:val="both"/>
        <w:rPr>
          <w:lang w:val="ru-RU"/>
        </w:rPr>
      </w:pPr>
      <w:r w:rsidRPr="00F12F90">
        <w:rPr>
          <w:i/>
          <w:lang w:val="ru-RU"/>
        </w:rPr>
        <w:t xml:space="preserve">Отек </w:t>
      </w:r>
      <w:r w:rsidR="0038277B" w:rsidRPr="00F12F90">
        <w:rPr>
          <w:i/>
          <w:lang w:val="ru-RU"/>
        </w:rPr>
        <w:t xml:space="preserve">головного </w:t>
      </w:r>
      <w:r w:rsidRPr="00F12F90">
        <w:rPr>
          <w:i/>
          <w:lang w:val="ru-RU"/>
        </w:rPr>
        <w:t>мозга</w:t>
      </w:r>
      <w:r w:rsidRPr="00F12F90">
        <w:rPr>
          <w:lang w:val="ru-RU"/>
        </w:rPr>
        <w:t>. Доза</w:t>
      </w:r>
      <w:r w:rsidR="00814DDB" w:rsidRPr="00F12F90">
        <w:rPr>
          <w:lang w:val="ru-RU"/>
        </w:rPr>
        <w:t xml:space="preserve"> подбирается</w:t>
      </w:r>
      <w:r w:rsidRPr="00F12F90">
        <w:rPr>
          <w:lang w:val="ru-RU"/>
        </w:rPr>
        <w:t xml:space="preserve"> в зависимости от причины и</w:t>
      </w:r>
      <w:r w:rsidR="00F11787" w:rsidRPr="00F12F90">
        <w:rPr>
          <w:lang w:val="ru-RU"/>
        </w:rPr>
        <w:t xml:space="preserve"> </w:t>
      </w:r>
      <w:r w:rsidRPr="00F12F90">
        <w:rPr>
          <w:lang w:val="ru-RU"/>
        </w:rPr>
        <w:t>тяжести заболевания</w:t>
      </w:r>
      <w:r w:rsidR="00814DDB" w:rsidRPr="00F12F90">
        <w:rPr>
          <w:lang w:val="ru-RU"/>
        </w:rPr>
        <w:t>: сначала 8–10 мг (до 80 мг) внутривенно</w:t>
      </w:r>
      <w:r w:rsidR="006D79A2" w:rsidRPr="00F12F90">
        <w:rPr>
          <w:lang w:val="ru-RU"/>
        </w:rPr>
        <w:t>, затем 16–24 мг (до 48 мг) в сутки</w:t>
      </w:r>
      <w:r w:rsidRPr="00F12F90">
        <w:rPr>
          <w:lang w:val="ru-RU"/>
        </w:rPr>
        <w:t>, раздел</w:t>
      </w:r>
      <w:r w:rsidR="00814DDB" w:rsidRPr="00F12F90">
        <w:rPr>
          <w:lang w:val="ru-RU"/>
        </w:rPr>
        <w:t xml:space="preserve">енных на 3–4 (6) разовых доз внутривенно </w:t>
      </w:r>
      <w:r w:rsidRPr="00F12F90">
        <w:rPr>
          <w:lang w:val="ru-RU"/>
        </w:rPr>
        <w:t xml:space="preserve">около 4-8 дней. Во время лучевой терапии и при консервативной терапии неоперабельных опухолей головного мозга может потребоваться более длительное введение </w:t>
      </w:r>
      <w:r w:rsidR="00814DDB" w:rsidRPr="00F12F90">
        <w:rPr>
          <w:lang w:val="ru-RU"/>
        </w:rPr>
        <w:t>препарата</w:t>
      </w:r>
      <w:r w:rsidRPr="00F12F90">
        <w:rPr>
          <w:lang w:val="ru-RU"/>
        </w:rPr>
        <w:t xml:space="preserve"> в более низких дозах.</w:t>
      </w:r>
    </w:p>
    <w:p w14:paraId="3366F7F5" w14:textId="1C92D648" w:rsidR="00493BCA" w:rsidRPr="00F12F90" w:rsidRDefault="00814DDB" w:rsidP="008016B4">
      <w:pPr>
        <w:jc w:val="both"/>
        <w:rPr>
          <w:lang w:val="ru-RU"/>
        </w:rPr>
      </w:pPr>
      <w:r w:rsidRPr="00F12F90">
        <w:rPr>
          <w:i/>
          <w:lang w:val="ru-RU"/>
        </w:rPr>
        <w:t>О</w:t>
      </w:r>
      <w:r w:rsidR="00493BCA" w:rsidRPr="00F12F90">
        <w:rPr>
          <w:i/>
          <w:lang w:val="ru-RU"/>
        </w:rPr>
        <w:t>тек головного мозга на фоне бактериального менингита</w:t>
      </w:r>
      <w:r w:rsidRPr="00F12F90">
        <w:rPr>
          <w:lang w:val="ru-RU"/>
        </w:rPr>
        <w:t xml:space="preserve">: </w:t>
      </w:r>
      <w:r w:rsidR="00493BCA" w:rsidRPr="00F12F90">
        <w:rPr>
          <w:lang w:val="ru-RU"/>
        </w:rPr>
        <w:t>по 0,15 мг/кг массы тела каждые 6 часов в течение 4 дней, детям по 0,4 мг/кг массы тела каждые 12 часов в течение 2 дней; начиная с первой дозы антибиотиков.</w:t>
      </w:r>
    </w:p>
    <w:p w14:paraId="098D6711" w14:textId="7905F519" w:rsidR="00B81A6A" w:rsidRPr="00F12F90" w:rsidRDefault="00493BCA" w:rsidP="008016B4">
      <w:pPr>
        <w:jc w:val="both"/>
        <w:rPr>
          <w:lang w:val="ru-RU"/>
        </w:rPr>
      </w:pPr>
      <w:r w:rsidRPr="00F12F90">
        <w:rPr>
          <w:i/>
          <w:lang w:val="ru-RU"/>
        </w:rPr>
        <w:t>Пост</w:t>
      </w:r>
      <w:r w:rsidR="00775F57" w:rsidRPr="00F12F90">
        <w:rPr>
          <w:i/>
          <w:lang w:val="ru-RU"/>
        </w:rPr>
        <w:t xml:space="preserve">травматический шок/профилактика </w:t>
      </w:r>
      <w:r w:rsidR="00B81A6A" w:rsidRPr="00F12F90">
        <w:rPr>
          <w:i/>
          <w:lang w:val="ru-RU"/>
        </w:rPr>
        <w:t>посттравматического шока легких</w:t>
      </w:r>
      <w:r w:rsidRPr="00F12F90">
        <w:rPr>
          <w:i/>
          <w:lang w:val="ru-RU"/>
        </w:rPr>
        <w:t>:</w:t>
      </w:r>
      <w:r w:rsidRPr="00F12F90">
        <w:rPr>
          <w:lang w:val="ru-RU"/>
        </w:rPr>
        <w:t xml:space="preserve"> начальная </w:t>
      </w:r>
      <w:r w:rsidR="003811A6" w:rsidRPr="00F12F90">
        <w:rPr>
          <w:lang w:val="ru-RU"/>
        </w:rPr>
        <w:t>доза 40-100 мг (детям 40 мг) внутривенно</w:t>
      </w:r>
      <w:r w:rsidRPr="00F12F90">
        <w:rPr>
          <w:lang w:val="ru-RU"/>
        </w:rPr>
        <w:t xml:space="preserve"> с повторе</w:t>
      </w:r>
      <w:r w:rsidR="003811A6" w:rsidRPr="00F12F90">
        <w:rPr>
          <w:lang w:val="ru-RU"/>
        </w:rPr>
        <w:t>нием дозы через 12 часов или 16-</w:t>
      </w:r>
      <w:r w:rsidRPr="00F12F90">
        <w:rPr>
          <w:lang w:val="ru-RU"/>
        </w:rPr>
        <w:t>40 мг кажды</w:t>
      </w:r>
      <w:r w:rsidR="00B81A6A" w:rsidRPr="00F12F90">
        <w:rPr>
          <w:lang w:val="ru-RU"/>
        </w:rPr>
        <w:t>е 6 часов в течение 2-3 дней.</w:t>
      </w:r>
    </w:p>
    <w:p w14:paraId="2C0DDA54" w14:textId="4ACE9460" w:rsidR="00716B87" w:rsidRPr="00F12F90" w:rsidRDefault="00493BCA" w:rsidP="008016B4">
      <w:pPr>
        <w:jc w:val="both"/>
        <w:rPr>
          <w:lang w:val="ru-RU"/>
        </w:rPr>
      </w:pPr>
      <w:r w:rsidRPr="00F12F90">
        <w:rPr>
          <w:i/>
          <w:lang w:val="ru-RU"/>
        </w:rPr>
        <w:t>Анафилактический шок</w:t>
      </w:r>
      <w:r w:rsidRPr="00F12F90">
        <w:rPr>
          <w:lang w:val="ru-RU"/>
        </w:rPr>
        <w:t>: п</w:t>
      </w:r>
      <w:r w:rsidR="00B81A6A" w:rsidRPr="00F12F90">
        <w:rPr>
          <w:lang w:val="ru-RU"/>
        </w:rPr>
        <w:t>ервичная инъекция адреналина внутривенно</w:t>
      </w:r>
      <w:r w:rsidRPr="00F12F90">
        <w:rPr>
          <w:lang w:val="ru-RU"/>
        </w:rPr>
        <w:t xml:space="preserve">, затем 40-100 мг (детям 40 мг) </w:t>
      </w:r>
      <w:r w:rsidR="00B81A6A" w:rsidRPr="00F12F90">
        <w:rPr>
          <w:lang w:val="ru-RU"/>
        </w:rPr>
        <w:t>внутривенно</w:t>
      </w:r>
      <w:r w:rsidRPr="00F12F90">
        <w:rPr>
          <w:lang w:val="ru-RU"/>
        </w:rPr>
        <w:t>, повторная инъекция при необходимости.</w:t>
      </w:r>
    </w:p>
    <w:p w14:paraId="63B17027" w14:textId="77777777" w:rsidR="00A23BC2" w:rsidRPr="00F12F90" w:rsidRDefault="00B81A6A" w:rsidP="00B909D9">
      <w:pPr>
        <w:jc w:val="both"/>
        <w:rPr>
          <w:lang w:val="ru-RU"/>
        </w:rPr>
      </w:pPr>
      <w:r w:rsidRPr="00F12F90">
        <w:rPr>
          <w:i/>
          <w:lang w:val="ru-RU"/>
        </w:rPr>
        <w:t>Тяжелый острый приступ астмы:</w:t>
      </w:r>
      <w:r w:rsidRPr="00F12F90">
        <w:rPr>
          <w:lang w:val="ru-RU"/>
        </w:rPr>
        <w:t xml:space="preserve"> взрослые: 8-20 мг внутривенно как можно скорее, при необходимости повторные инъекции по 8 мг каждые 4 часа. Дети: 0,15-0,3 мг/кг массы тела </w:t>
      </w:r>
      <w:r w:rsidR="00B909D9" w:rsidRPr="00F12F90">
        <w:rPr>
          <w:lang w:val="ru-RU"/>
        </w:rPr>
        <w:t xml:space="preserve">внутривенно </w:t>
      </w:r>
      <w:r w:rsidRPr="00F12F90">
        <w:rPr>
          <w:lang w:val="ru-RU"/>
        </w:rPr>
        <w:t xml:space="preserve">или </w:t>
      </w:r>
      <w:r w:rsidR="0038277B" w:rsidRPr="00F12F90">
        <w:rPr>
          <w:lang w:val="ru-RU"/>
        </w:rPr>
        <w:t xml:space="preserve">перорально или </w:t>
      </w:r>
      <w:r w:rsidRPr="00F12F90">
        <w:rPr>
          <w:lang w:val="ru-RU"/>
        </w:rPr>
        <w:t xml:space="preserve">1,2 мг/кг массы тела </w:t>
      </w:r>
      <w:r w:rsidR="00A23BC2" w:rsidRPr="00F12F90">
        <w:rPr>
          <w:lang w:val="ru-RU"/>
        </w:rPr>
        <w:t xml:space="preserve">вначале </w:t>
      </w:r>
      <w:r w:rsidRPr="00F12F90">
        <w:rPr>
          <w:lang w:val="ru-RU"/>
        </w:rPr>
        <w:t xml:space="preserve">в виде болюса, затем по 0,3 мг/кг каждые 4-6 часов. Также можно вводить аминофиллин и </w:t>
      </w:r>
      <w:proofErr w:type="spellStart"/>
      <w:r w:rsidRPr="00F12F90">
        <w:rPr>
          <w:lang w:val="ru-RU"/>
        </w:rPr>
        <w:t>секретолитики</w:t>
      </w:r>
      <w:proofErr w:type="spellEnd"/>
      <w:r w:rsidRPr="00F12F90">
        <w:rPr>
          <w:lang w:val="ru-RU"/>
        </w:rPr>
        <w:t>.</w:t>
      </w:r>
    </w:p>
    <w:p w14:paraId="2F715E40" w14:textId="1F998D11" w:rsidR="00716B87" w:rsidRPr="00F12F90" w:rsidRDefault="00B909D9" w:rsidP="00B909D9">
      <w:pPr>
        <w:jc w:val="both"/>
        <w:rPr>
          <w:lang w:val="ru-RU"/>
        </w:rPr>
      </w:pPr>
      <w:r w:rsidRPr="00F12F90">
        <w:rPr>
          <w:i/>
          <w:lang w:val="ru-RU"/>
        </w:rPr>
        <w:t>Острые кожные заболевания</w:t>
      </w:r>
      <w:r w:rsidRPr="00F12F90">
        <w:rPr>
          <w:lang w:val="ru-RU"/>
        </w:rPr>
        <w:t>: в зависимости от вида и степени забол</w:t>
      </w:r>
      <w:r w:rsidR="00760E70" w:rsidRPr="00F12F90">
        <w:rPr>
          <w:lang w:val="ru-RU"/>
        </w:rPr>
        <w:t>евания суточная доза 8-40 мг внутривенно</w:t>
      </w:r>
      <w:r w:rsidRPr="00F12F90">
        <w:rPr>
          <w:lang w:val="ru-RU"/>
        </w:rPr>
        <w:t xml:space="preserve">, в отдельных случаях до 100 мг. Затем </w:t>
      </w:r>
      <w:r w:rsidR="00A23BC2" w:rsidRPr="00F12F90">
        <w:rPr>
          <w:lang w:val="ru-RU"/>
        </w:rPr>
        <w:t xml:space="preserve">переходят на </w:t>
      </w:r>
      <w:r w:rsidRPr="00F12F90">
        <w:rPr>
          <w:lang w:val="ru-RU"/>
        </w:rPr>
        <w:t>пероральное лечение в убывающих дозах.</w:t>
      </w:r>
    </w:p>
    <w:p w14:paraId="2B399272" w14:textId="4AFD204D" w:rsidR="00716B87" w:rsidRPr="00F12F90" w:rsidRDefault="00B909D9" w:rsidP="00B909D9">
      <w:pPr>
        <w:jc w:val="both"/>
        <w:rPr>
          <w:lang w:val="ru-RU"/>
        </w:rPr>
      </w:pPr>
      <w:r w:rsidRPr="00F12F90">
        <w:rPr>
          <w:i/>
          <w:lang w:val="ru-RU"/>
        </w:rPr>
        <w:t>Активные фазы системных ревматических заболеваний</w:t>
      </w:r>
      <w:r w:rsidRPr="00F12F90">
        <w:rPr>
          <w:lang w:val="ru-RU"/>
        </w:rPr>
        <w:t>: системна</w:t>
      </w:r>
      <w:r w:rsidR="00450336" w:rsidRPr="00F12F90">
        <w:rPr>
          <w:lang w:val="ru-RU"/>
        </w:rPr>
        <w:t>я красная волчанка - 6-16 мг в сутки</w:t>
      </w:r>
      <w:r w:rsidRPr="00F12F90">
        <w:rPr>
          <w:lang w:val="ru-RU"/>
        </w:rPr>
        <w:t>.</w:t>
      </w:r>
    </w:p>
    <w:p w14:paraId="5AB3E70B" w14:textId="04FD35E4" w:rsidR="00716B87" w:rsidRPr="00F12F90" w:rsidRDefault="00B909D9" w:rsidP="00B909D9">
      <w:pPr>
        <w:jc w:val="both"/>
        <w:rPr>
          <w:lang w:val="ru-RU"/>
        </w:rPr>
      </w:pPr>
      <w:r w:rsidRPr="00F12F90">
        <w:rPr>
          <w:i/>
          <w:lang w:val="ru-RU"/>
        </w:rPr>
        <w:t>Активный ревматоидный артрит с тяжелой прогрессирующей формой</w:t>
      </w:r>
      <w:r w:rsidR="00450336" w:rsidRPr="00F12F90">
        <w:rPr>
          <w:lang w:val="ru-RU"/>
        </w:rPr>
        <w:t>: 12-16 мг в сутки</w:t>
      </w:r>
      <w:r w:rsidRPr="00F12F90">
        <w:rPr>
          <w:lang w:val="ru-RU"/>
        </w:rPr>
        <w:t xml:space="preserve"> при тяжелых деструктивных</w:t>
      </w:r>
      <w:r w:rsidR="00450336" w:rsidRPr="00F12F90">
        <w:rPr>
          <w:lang w:val="ru-RU"/>
        </w:rPr>
        <w:t xml:space="preserve"> формах, 6-12 мг в сутки </w:t>
      </w:r>
      <w:r w:rsidRPr="00F12F90">
        <w:rPr>
          <w:lang w:val="ru-RU"/>
        </w:rPr>
        <w:t>при внесуставных проявлениях.</w:t>
      </w:r>
    </w:p>
    <w:p w14:paraId="42B383B6" w14:textId="58AEE63A" w:rsidR="00716B87" w:rsidRPr="00F12F90" w:rsidRDefault="00B909D9" w:rsidP="00B909D9">
      <w:pPr>
        <w:jc w:val="both"/>
        <w:rPr>
          <w:lang w:val="ru-RU"/>
        </w:rPr>
      </w:pPr>
      <w:r w:rsidRPr="00F12F90">
        <w:rPr>
          <w:i/>
          <w:lang w:val="ru-RU"/>
        </w:rPr>
        <w:t xml:space="preserve">Тяжелые инфекционные заболевания, токсические состояния (например, туберкулез, брюшной тиф; только в дополнение к соответствующей </w:t>
      </w:r>
      <w:proofErr w:type="spellStart"/>
      <w:r w:rsidRPr="00F12F90">
        <w:rPr>
          <w:i/>
          <w:lang w:val="ru-RU"/>
        </w:rPr>
        <w:t>противоинфекционной</w:t>
      </w:r>
      <w:proofErr w:type="spellEnd"/>
      <w:r w:rsidRPr="00F12F90">
        <w:rPr>
          <w:i/>
          <w:lang w:val="ru-RU"/>
        </w:rPr>
        <w:t xml:space="preserve"> терапии):</w:t>
      </w:r>
      <w:r w:rsidR="00450336" w:rsidRPr="00F12F90">
        <w:rPr>
          <w:lang w:val="ru-RU"/>
        </w:rPr>
        <w:t xml:space="preserve"> 4-20 мг в сутки</w:t>
      </w:r>
      <w:r w:rsidR="00760E70" w:rsidRPr="00F12F90">
        <w:rPr>
          <w:lang w:val="ru-RU"/>
        </w:rPr>
        <w:t xml:space="preserve"> внутривенно</w:t>
      </w:r>
      <w:r w:rsidRPr="00F12F90">
        <w:rPr>
          <w:lang w:val="ru-RU"/>
        </w:rPr>
        <w:t>, в отдельных случаях (например, брюшной тиф) первоначально до 200 мг.</w:t>
      </w:r>
    </w:p>
    <w:p w14:paraId="118EC09A" w14:textId="020C63DA" w:rsidR="00716B87" w:rsidRPr="00F12F90" w:rsidRDefault="00B909D9" w:rsidP="00B909D9">
      <w:pPr>
        <w:jc w:val="both"/>
        <w:rPr>
          <w:lang w:val="ru-RU"/>
        </w:rPr>
      </w:pPr>
      <w:r w:rsidRPr="00F12F90">
        <w:rPr>
          <w:i/>
          <w:lang w:val="ru-RU"/>
        </w:rPr>
        <w:lastRenderedPageBreak/>
        <w:t>Паллиативная терапия злокачественных опухолей</w:t>
      </w:r>
      <w:r w:rsidRPr="00F12F90">
        <w:rPr>
          <w:lang w:val="ru-RU"/>
        </w:rPr>
        <w:t>: начальная 8-16 мг/</w:t>
      </w:r>
      <w:proofErr w:type="spellStart"/>
      <w:r w:rsidRPr="00F12F90">
        <w:rPr>
          <w:lang w:val="ru-RU"/>
        </w:rPr>
        <w:t>сут</w:t>
      </w:r>
      <w:proofErr w:type="spellEnd"/>
      <w:r w:rsidRPr="00F12F90">
        <w:rPr>
          <w:lang w:val="ru-RU"/>
        </w:rPr>
        <w:t>, при боле</w:t>
      </w:r>
      <w:r w:rsidR="00450336" w:rsidRPr="00F12F90">
        <w:rPr>
          <w:lang w:val="ru-RU"/>
        </w:rPr>
        <w:t>е длительной терапии 4-12 мг в сутки</w:t>
      </w:r>
      <w:r w:rsidRPr="00F12F90">
        <w:rPr>
          <w:lang w:val="ru-RU"/>
        </w:rPr>
        <w:t>.</w:t>
      </w:r>
    </w:p>
    <w:p w14:paraId="2C7F852D" w14:textId="5CB24027" w:rsidR="00716B87" w:rsidRPr="00F12F90" w:rsidRDefault="00B909D9" w:rsidP="00760E70">
      <w:pPr>
        <w:jc w:val="both"/>
        <w:rPr>
          <w:lang w:val="ru-RU"/>
        </w:rPr>
      </w:pPr>
      <w:r w:rsidRPr="00F12F90">
        <w:rPr>
          <w:i/>
          <w:lang w:val="ru-RU"/>
        </w:rPr>
        <w:t xml:space="preserve">Профилактика и лечение рвоты, вызванной </w:t>
      </w:r>
      <w:proofErr w:type="spellStart"/>
      <w:r w:rsidRPr="00F12F90">
        <w:rPr>
          <w:i/>
          <w:lang w:val="ru-RU"/>
        </w:rPr>
        <w:t>цитостатиками</w:t>
      </w:r>
      <w:proofErr w:type="spellEnd"/>
      <w:r w:rsidRPr="00F12F90">
        <w:rPr>
          <w:i/>
          <w:lang w:val="ru-RU"/>
        </w:rPr>
        <w:t>, в составе п</w:t>
      </w:r>
      <w:r w:rsidR="00760E70" w:rsidRPr="00F12F90">
        <w:rPr>
          <w:i/>
          <w:lang w:val="ru-RU"/>
        </w:rPr>
        <w:t>ротиворвотных схем:</w:t>
      </w:r>
      <w:r w:rsidR="00760E70" w:rsidRPr="00F12F90">
        <w:rPr>
          <w:lang w:val="ru-RU"/>
        </w:rPr>
        <w:t xml:space="preserve"> 10-20 мг внутривенно</w:t>
      </w:r>
      <w:r w:rsidRPr="00F12F90">
        <w:rPr>
          <w:lang w:val="ru-RU"/>
        </w:rPr>
        <w:t xml:space="preserve"> </w:t>
      </w:r>
      <w:r w:rsidR="007920EB" w:rsidRPr="00F12F90">
        <w:rPr>
          <w:lang w:val="ru-RU"/>
        </w:rPr>
        <w:t xml:space="preserve"> или внутрь до </w:t>
      </w:r>
      <w:r w:rsidRPr="00F12F90">
        <w:rPr>
          <w:lang w:val="ru-RU"/>
        </w:rPr>
        <w:t>начал</w:t>
      </w:r>
      <w:r w:rsidR="007920EB" w:rsidRPr="00F12F90">
        <w:rPr>
          <w:lang w:val="ru-RU"/>
        </w:rPr>
        <w:t>а</w:t>
      </w:r>
      <w:r w:rsidRPr="00F12F90">
        <w:rPr>
          <w:lang w:val="ru-RU"/>
        </w:rPr>
        <w:t xml:space="preserve"> химиотерапии, зате</w:t>
      </w:r>
      <w:r w:rsidR="00760E70" w:rsidRPr="00F12F90">
        <w:rPr>
          <w:lang w:val="ru-RU"/>
        </w:rPr>
        <w:t>м при необходимости по 4-8 мг 2-3 раза в сутки в течение 1-</w:t>
      </w:r>
      <w:r w:rsidRPr="00F12F90">
        <w:rPr>
          <w:lang w:val="ru-RU"/>
        </w:rPr>
        <w:t xml:space="preserve">3 дней (умеренно </w:t>
      </w:r>
      <w:proofErr w:type="spellStart"/>
      <w:r w:rsidRPr="00F12F90">
        <w:rPr>
          <w:lang w:val="ru-RU"/>
        </w:rPr>
        <w:t>эметогенная</w:t>
      </w:r>
      <w:proofErr w:type="spellEnd"/>
      <w:r w:rsidRPr="00F12F90">
        <w:rPr>
          <w:lang w:val="ru-RU"/>
        </w:rPr>
        <w:t xml:space="preserve"> химиотерапия) или до 6 дней (</w:t>
      </w:r>
      <w:proofErr w:type="spellStart"/>
      <w:r w:rsidRPr="00F12F90">
        <w:rPr>
          <w:lang w:val="ru-RU"/>
        </w:rPr>
        <w:t>высокоэметогенная</w:t>
      </w:r>
      <w:proofErr w:type="spellEnd"/>
      <w:r w:rsidRPr="00F12F90">
        <w:rPr>
          <w:lang w:val="ru-RU"/>
        </w:rPr>
        <w:t xml:space="preserve"> химиотерапия)</w:t>
      </w:r>
      <w:r w:rsidR="00760E70" w:rsidRPr="00F12F90">
        <w:rPr>
          <w:lang w:val="ru-RU"/>
        </w:rPr>
        <w:t>.</w:t>
      </w:r>
    </w:p>
    <w:p w14:paraId="0C8B0413" w14:textId="4C1C432A" w:rsidR="00760E70" w:rsidRPr="00F12F90" w:rsidRDefault="00760E70" w:rsidP="00C85E4E">
      <w:pPr>
        <w:jc w:val="both"/>
        <w:rPr>
          <w:lang w:val="ru-RU"/>
        </w:rPr>
      </w:pPr>
      <w:r w:rsidRPr="00F12F90">
        <w:rPr>
          <w:i/>
          <w:lang w:val="ru-RU"/>
        </w:rPr>
        <w:t>Профилактика и лечение послеоперационной рвоты:</w:t>
      </w:r>
      <w:r w:rsidRPr="00F12F90">
        <w:rPr>
          <w:lang w:val="ru-RU"/>
        </w:rPr>
        <w:t xml:space="preserve"> разовая доза 8-20 мг</w:t>
      </w:r>
      <w:r w:rsidR="000574C0" w:rsidRPr="00F12F90">
        <w:rPr>
          <w:lang w:val="ru-RU"/>
        </w:rPr>
        <w:t xml:space="preserve"> </w:t>
      </w:r>
      <w:r w:rsidRPr="00F12F90">
        <w:rPr>
          <w:lang w:val="ru-RU"/>
        </w:rPr>
        <w:t>внутривенно до начала операции, детям от 2 лет - 0,15-0,5 мг/кг массы тела (не более 16 мг).</w:t>
      </w:r>
    </w:p>
    <w:p w14:paraId="08FF4AE2" w14:textId="6C625842" w:rsidR="001722D0" w:rsidRPr="00F12F90" w:rsidRDefault="00760E70" w:rsidP="00760E70">
      <w:pPr>
        <w:jc w:val="both"/>
        <w:rPr>
          <w:lang w:val="ru-RU"/>
        </w:rPr>
      </w:pPr>
      <w:r w:rsidRPr="00F12F90">
        <w:rPr>
          <w:i/>
          <w:lang w:val="ru-RU"/>
        </w:rPr>
        <w:t>Для лечения COVID-19:</w:t>
      </w:r>
      <w:r w:rsidRPr="00F12F90">
        <w:rPr>
          <w:lang w:val="ru-RU"/>
        </w:rPr>
        <w:t xml:space="preserve"> Взрослым пациентам назначают по 6 мг внутривенно 1 раз в сутки в течение 10 дней.</w:t>
      </w:r>
    </w:p>
    <w:p w14:paraId="2BAD3FC5" w14:textId="5B3E02B5" w:rsidR="001722D0" w:rsidRPr="00F12F90" w:rsidRDefault="001722D0" w:rsidP="00760E70">
      <w:pPr>
        <w:jc w:val="both"/>
        <w:rPr>
          <w:b/>
          <w:bCs/>
          <w:lang w:val="ru-RU"/>
        </w:rPr>
      </w:pPr>
      <w:r w:rsidRPr="00F12F90">
        <w:rPr>
          <w:b/>
          <w:bCs/>
          <w:lang w:val="ru-RU"/>
        </w:rPr>
        <w:t>Особые группы пациентов</w:t>
      </w:r>
    </w:p>
    <w:p w14:paraId="44E8687D" w14:textId="4A10BF4A" w:rsidR="001722D0" w:rsidRPr="00F12F90" w:rsidRDefault="00DF090F" w:rsidP="00775F57">
      <w:pPr>
        <w:rPr>
          <w:lang w:val="ru-RU"/>
        </w:rPr>
      </w:pPr>
      <w:r>
        <w:rPr>
          <w:i/>
          <w:lang w:val="ru-RU"/>
        </w:rPr>
        <w:t>Дети</w:t>
      </w:r>
    </w:p>
    <w:p w14:paraId="020D1FFE" w14:textId="34866C16" w:rsidR="001722D0" w:rsidRPr="00F12F90" w:rsidRDefault="00775F57" w:rsidP="007E3787">
      <w:pPr>
        <w:jc w:val="both"/>
        <w:rPr>
          <w:lang w:val="ru-RU"/>
        </w:rPr>
      </w:pPr>
      <w:r w:rsidRPr="00F12F90">
        <w:rPr>
          <w:lang w:val="ru-RU"/>
        </w:rPr>
        <w:t>Для детей (подростков в возрасте 12 лет и старше) реко</w:t>
      </w:r>
      <w:r w:rsidR="001722D0" w:rsidRPr="00F12F90">
        <w:rPr>
          <w:lang w:val="ru-RU"/>
        </w:rPr>
        <w:t xml:space="preserve">мендуется доза 6 мг внутривенно </w:t>
      </w:r>
      <w:r w:rsidRPr="00F12F90">
        <w:rPr>
          <w:lang w:val="ru-RU"/>
        </w:rPr>
        <w:t xml:space="preserve">один раз в день </w:t>
      </w:r>
      <w:r w:rsidR="007920EB" w:rsidRPr="00F12F90">
        <w:rPr>
          <w:lang w:val="ru-RU"/>
        </w:rPr>
        <w:t>в течение</w:t>
      </w:r>
      <w:r w:rsidRPr="00F12F90">
        <w:rPr>
          <w:lang w:val="ru-RU"/>
        </w:rPr>
        <w:t xml:space="preserve"> 10 дней. Продолжительность лечения зависит от клинического ответа и индивидуальных потребностей пациента. </w:t>
      </w:r>
    </w:p>
    <w:p w14:paraId="747D2577" w14:textId="0716EC0A" w:rsidR="007E3787" w:rsidRPr="00F12F90" w:rsidRDefault="007E3787" w:rsidP="006F48F2">
      <w:pPr>
        <w:jc w:val="both"/>
        <w:rPr>
          <w:lang w:val="ru-RU"/>
        </w:rPr>
      </w:pPr>
      <w:r w:rsidRPr="00F12F90">
        <w:rPr>
          <w:i/>
          <w:lang w:val="ru-RU"/>
        </w:rPr>
        <w:t xml:space="preserve">Пожилые пациенты, </w:t>
      </w:r>
      <w:r w:rsidR="00192752" w:rsidRPr="00F12F90">
        <w:rPr>
          <w:i/>
          <w:lang w:val="ru-RU"/>
        </w:rPr>
        <w:t>пациенты</w:t>
      </w:r>
      <w:r w:rsidRPr="00F12F90">
        <w:rPr>
          <w:i/>
          <w:lang w:val="ru-RU"/>
        </w:rPr>
        <w:t xml:space="preserve"> с почечной или печеночной недостаточностью</w:t>
      </w:r>
      <w:r w:rsidRPr="00F12F90">
        <w:rPr>
          <w:lang w:val="ru-RU"/>
        </w:rPr>
        <w:t xml:space="preserve"> Коррекции дозы не требуется. </w:t>
      </w:r>
    </w:p>
    <w:p w14:paraId="7F42797A" w14:textId="4D3BC8B8" w:rsidR="007E3787" w:rsidRPr="00F12F90" w:rsidRDefault="007E3787" w:rsidP="007E3787">
      <w:pPr>
        <w:jc w:val="both"/>
        <w:rPr>
          <w:b/>
          <w:lang w:val="ru-RU"/>
        </w:rPr>
      </w:pPr>
      <w:r w:rsidRPr="00F12F90">
        <w:rPr>
          <w:b/>
          <w:color w:val="000000" w:themeColor="text1"/>
          <w:lang w:val="ru-RU"/>
        </w:rPr>
        <w:t>Местное применение</w:t>
      </w:r>
    </w:p>
    <w:p w14:paraId="7A6CECCA" w14:textId="0E1435F7" w:rsidR="007E3787" w:rsidRPr="00F12F90" w:rsidRDefault="007E3787" w:rsidP="00F17729">
      <w:pPr>
        <w:jc w:val="both"/>
        <w:rPr>
          <w:lang w:val="ru-RU"/>
        </w:rPr>
      </w:pPr>
      <w:r w:rsidRPr="00F12F90">
        <w:rPr>
          <w:lang w:val="ru-RU"/>
        </w:rPr>
        <w:t>Местную инфильтрационно</w:t>
      </w:r>
      <w:r w:rsidR="00A86ADA" w:rsidRPr="00F12F90">
        <w:rPr>
          <w:lang w:val="ru-RU"/>
        </w:rPr>
        <w:t>-</w:t>
      </w:r>
      <w:r w:rsidRPr="00F12F90">
        <w:rPr>
          <w:lang w:val="ru-RU"/>
        </w:rPr>
        <w:t xml:space="preserve">инъекционную терапию обычно проводят по 4-8 мг, при введении в мелкие суставы и </w:t>
      </w:r>
      <w:proofErr w:type="spellStart"/>
      <w:r w:rsidRPr="00F12F90">
        <w:rPr>
          <w:lang w:val="ru-RU"/>
        </w:rPr>
        <w:t>субконъюнктивальном</w:t>
      </w:r>
      <w:proofErr w:type="spellEnd"/>
      <w:r w:rsidRPr="00F12F90">
        <w:rPr>
          <w:lang w:val="ru-RU"/>
        </w:rPr>
        <w:t xml:space="preserve"> </w:t>
      </w:r>
      <w:r w:rsidR="00EC007A" w:rsidRPr="00F12F90">
        <w:rPr>
          <w:lang w:val="ru-RU"/>
        </w:rPr>
        <w:t xml:space="preserve">применении </w:t>
      </w:r>
      <w:r w:rsidR="00F17729" w:rsidRPr="00F12F90">
        <w:rPr>
          <w:lang w:val="ru-RU"/>
        </w:rPr>
        <w:t>достаточно 2 мг.</w:t>
      </w:r>
    </w:p>
    <w:p w14:paraId="301EB3EA" w14:textId="3FC50422" w:rsidR="001722D0" w:rsidRPr="00F12F90" w:rsidRDefault="007E3787" w:rsidP="007E3787">
      <w:pPr>
        <w:spacing w:before="120"/>
        <w:contextualSpacing/>
        <w:jc w:val="both"/>
        <w:rPr>
          <w:b/>
          <w:lang w:val="ru-RU" w:bidi="ru-RU"/>
        </w:rPr>
      </w:pPr>
      <w:r w:rsidRPr="00F12F90">
        <w:rPr>
          <w:b/>
          <w:lang w:val="ru-RU" w:bidi="ru-RU"/>
        </w:rPr>
        <w:t xml:space="preserve">Способ применения </w:t>
      </w:r>
    </w:p>
    <w:p w14:paraId="7AB29FCB" w14:textId="31A93B17" w:rsidR="00F11787" w:rsidRPr="00F12F90" w:rsidRDefault="00F11787" w:rsidP="00F11787">
      <w:pPr>
        <w:jc w:val="both"/>
        <w:rPr>
          <w:lang w:val="ru-RU"/>
        </w:rPr>
      </w:pPr>
      <w:r w:rsidRPr="00F12F90">
        <w:rPr>
          <w:lang w:val="ru-RU"/>
        </w:rPr>
        <w:t xml:space="preserve">Следует использовать только прозрачные растворы. Содержимое ампулы предназначено только для однократного применения. Любые остатки раствора для инъекций должны быть уничтожены. О совместимости с </w:t>
      </w:r>
      <w:proofErr w:type="spellStart"/>
      <w:r w:rsidRPr="00F12F90">
        <w:rPr>
          <w:lang w:val="ru-RU"/>
        </w:rPr>
        <w:t>инфузионными</w:t>
      </w:r>
      <w:proofErr w:type="spellEnd"/>
      <w:r w:rsidRPr="00F12F90">
        <w:rPr>
          <w:lang w:val="ru-RU"/>
        </w:rPr>
        <w:t xml:space="preserve"> растворами см. раздел 6.6. </w:t>
      </w:r>
    </w:p>
    <w:p w14:paraId="2A2969A9" w14:textId="77777777" w:rsidR="00DF090F" w:rsidRDefault="00B54291" w:rsidP="0072335F">
      <w:pPr>
        <w:jc w:val="both"/>
        <w:rPr>
          <w:lang w:val="ru-RU"/>
        </w:rPr>
      </w:pPr>
      <w:r w:rsidRPr="00F12F90">
        <w:rPr>
          <w:lang w:val="ru-RU"/>
        </w:rPr>
        <w:t>Препарат</w:t>
      </w:r>
      <w:r w:rsidR="00775F57" w:rsidRPr="00F12F90">
        <w:rPr>
          <w:lang w:val="ru-RU"/>
        </w:rPr>
        <w:t xml:space="preserve"> вводят медленно (2-3 минуты) внутривенно, но его также можно вводить внутр</w:t>
      </w:r>
      <w:r w:rsidR="007A7CAA" w:rsidRPr="00F12F90">
        <w:rPr>
          <w:lang w:val="ru-RU"/>
        </w:rPr>
        <w:t xml:space="preserve">имышечно, если имеют место заболевания вен </w:t>
      </w:r>
      <w:r w:rsidR="00775F57" w:rsidRPr="00F12F90">
        <w:rPr>
          <w:lang w:val="ru-RU"/>
        </w:rPr>
        <w:t xml:space="preserve">и функция кровообращения не нарушена. </w:t>
      </w:r>
      <w:r w:rsidRPr="00F12F90">
        <w:rPr>
          <w:lang w:val="ru-RU"/>
        </w:rPr>
        <w:t xml:space="preserve">Препарат </w:t>
      </w:r>
      <w:r w:rsidR="00DF090F" w:rsidRPr="00DF090F">
        <w:rPr>
          <w:lang w:val="ru-RU"/>
        </w:rPr>
        <w:t xml:space="preserve">также может применяться для внутрисуставного или </w:t>
      </w:r>
      <w:proofErr w:type="spellStart"/>
      <w:r w:rsidR="00DF090F" w:rsidRPr="00DF090F">
        <w:rPr>
          <w:lang w:val="ru-RU"/>
        </w:rPr>
        <w:t>субконъюнктивального</w:t>
      </w:r>
      <w:proofErr w:type="spellEnd"/>
      <w:r w:rsidR="00DF090F" w:rsidRPr="00DF090F">
        <w:rPr>
          <w:lang w:val="ru-RU"/>
        </w:rPr>
        <w:t xml:space="preserve"> введения, а также для местной инфильтрации. </w:t>
      </w:r>
      <w:r w:rsidR="00775F57" w:rsidRPr="00F12F90">
        <w:rPr>
          <w:lang w:val="ru-RU"/>
        </w:rPr>
        <w:t xml:space="preserve">Длительность применения зависит </w:t>
      </w:r>
      <w:r w:rsidR="007A7CAA" w:rsidRPr="00F12F90">
        <w:rPr>
          <w:lang w:val="ru-RU"/>
        </w:rPr>
        <w:t xml:space="preserve">от показаний. </w:t>
      </w:r>
    </w:p>
    <w:p w14:paraId="281F77A4" w14:textId="77777777" w:rsidR="00DF090F" w:rsidRPr="00DF090F" w:rsidRDefault="00DF090F" w:rsidP="00B42574">
      <w:pPr>
        <w:pStyle w:val="a4"/>
        <w:spacing w:before="0" w:beforeAutospacing="0" w:after="0" w:afterAutospacing="0"/>
        <w:jc w:val="both"/>
        <w:rPr>
          <w:lang w:val="ru-RU"/>
        </w:rPr>
      </w:pPr>
      <w:r w:rsidRPr="00DF090F">
        <w:rPr>
          <w:lang w:val="ru-RU"/>
        </w:rPr>
        <w:t>При гипотиреозе или циррозе печени может быть достаточно введение низких доз или возможно потребуется снижение дозы препарата.</w:t>
      </w:r>
    </w:p>
    <w:p w14:paraId="05233FB8" w14:textId="4A938957" w:rsidR="00DF090F" w:rsidRPr="00DF090F" w:rsidRDefault="00DF090F" w:rsidP="00B42574">
      <w:pPr>
        <w:pStyle w:val="a4"/>
        <w:spacing w:before="0" w:beforeAutospacing="0" w:after="0" w:afterAutospacing="0"/>
        <w:jc w:val="both"/>
        <w:rPr>
          <w:lang w:val="ru-RU"/>
        </w:rPr>
      </w:pPr>
      <w:r w:rsidRPr="00DF090F">
        <w:rPr>
          <w:lang w:val="ru-RU"/>
        </w:rPr>
        <w:t>Проведение внутрисуставной инъекции следует рассматривать как процедуру на открытом суставе и проводить в строгих асептических условиях. Однократная внутрисуставная инъекция обычно достаточна для эффективного облегчения симптомов. При необходимости повторной инъекции введение препарата следует проводить не ранее, чем через 3–4 недели. Введение в один и тот же сустав следует проводить не более 3 или 4 раз в течение жизни. Необходимо проведение медицинского осмотра сустава, особенно после повторных инъекций.</w:t>
      </w:r>
      <w:r w:rsidRPr="00DF090F">
        <w:rPr>
          <w:lang w:val="ru-RU"/>
        </w:rPr>
        <w:cr/>
        <w:t xml:space="preserve">Местная инфильтрация: </w:t>
      </w:r>
      <w:proofErr w:type="spellStart"/>
      <w:r w:rsidRPr="00DF090F">
        <w:rPr>
          <w:lang w:val="ru-RU"/>
        </w:rPr>
        <w:t>Дексаметазон</w:t>
      </w:r>
      <w:proofErr w:type="spellEnd"/>
      <w:r w:rsidRPr="00DF090F">
        <w:rPr>
          <w:lang w:val="ru-RU"/>
        </w:rPr>
        <w:t xml:space="preserve"> вводится в область наибольшей боли или прикрепления сухожилий. Следует соблюдать осторожность, не вводить инъекции в сухожилие! Необходимо избегать частых инъекций и следует соблюдать строгие меры асептики.</w:t>
      </w:r>
    </w:p>
    <w:p w14:paraId="37E17798" w14:textId="3450219A" w:rsidR="00935760" w:rsidRPr="00F12F90" w:rsidRDefault="00DF090F" w:rsidP="00B42574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DF090F">
        <w:rPr>
          <w:lang w:val="ru-RU"/>
        </w:rPr>
        <w:t xml:space="preserve">В случае необходимости применения для однократного лечения высоких доз, следует рассмотреть возможность применения препаратов </w:t>
      </w:r>
      <w:proofErr w:type="spellStart"/>
      <w:r w:rsidRPr="00DF090F">
        <w:rPr>
          <w:lang w:val="ru-RU"/>
        </w:rPr>
        <w:t>дексаметазона</w:t>
      </w:r>
      <w:proofErr w:type="spellEnd"/>
      <w:r w:rsidRPr="00DF090F">
        <w:rPr>
          <w:lang w:val="ru-RU"/>
        </w:rPr>
        <w:t xml:space="preserve"> с более высокой дозой/объемом.  </w:t>
      </w:r>
    </w:p>
    <w:p w14:paraId="1908A35A" w14:textId="77777777" w:rsidR="00B42574" w:rsidRDefault="00B42574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5FB5C9B3" w14:textId="784E8FE1" w:rsidR="006232D6" w:rsidRPr="00F12F90" w:rsidRDefault="005E7FA3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4.3. Противопоказания</w:t>
      </w:r>
    </w:p>
    <w:p w14:paraId="4D364E1A" w14:textId="2005F283" w:rsidR="0030171E" w:rsidRPr="00F12F90" w:rsidRDefault="0030171E" w:rsidP="0030171E">
      <w:pPr>
        <w:jc w:val="both"/>
        <w:rPr>
          <w:color w:val="000000"/>
          <w:lang w:val="ru-RU"/>
        </w:rPr>
      </w:pPr>
      <w:r w:rsidRPr="00F12F90">
        <w:rPr>
          <w:color w:val="000000"/>
          <w:lang w:val="ru-RU"/>
        </w:rPr>
        <w:t>-</w:t>
      </w:r>
      <w:r w:rsidR="005244A6" w:rsidRPr="00F12F90">
        <w:rPr>
          <w:color w:val="000000"/>
          <w:lang w:val="ru-RU"/>
        </w:rPr>
        <w:t xml:space="preserve"> г</w:t>
      </w:r>
      <w:r w:rsidRPr="00F12F90">
        <w:rPr>
          <w:color w:val="000000"/>
          <w:lang w:val="ru-RU"/>
        </w:rPr>
        <w:t xml:space="preserve">иперчувствительность к действующему веществу или </w:t>
      </w:r>
      <w:r w:rsidR="006157DE" w:rsidRPr="00F12F90">
        <w:rPr>
          <w:color w:val="000000"/>
          <w:lang w:val="ru-RU"/>
        </w:rPr>
        <w:t>к любому из вспомогательных веществ, перечисленных в разделе 6.1.</w:t>
      </w:r>
    </w:p>
    <w:p w14:paraId="46339156" w14:textId="1B82C19A" w:rsidR="006157DE" w:rsidRPr="00F12F90" w:rsidRDefault="009529AD" w:rsidP="0030171E">
      <w:pPr>
        <w:jc w:val="both"/>
        <w:rPr>
          <w:i/>
          <w:color w:val="000000"/>
          <w:lang w:val="ru-RU"/>
        </w:rPr>
      </w:pPr>
      <w:r w:rsidRPr="00F12F90">
        <w:rPr>
          <w:i/>
          <w:color w:val="000000"/>
          <w:lang w:val="ru-RU"/>
        </w:rPr>
        <w:t>Противопоказания для внутрисуставных инъекций</w:t>
      </w:r>
      <w:r w:rsidR="005244A6" w:rsidRPr="00F12F90">
        <w:rPr>
          <w:i/>
          <w:color w:val="000000"/>
          <w:lang w:val="ru-RU"/>
        </w:rPr>
        <w:t>:</w:t>
      </w:r>
    </w:p>
    <w:p w14:paraId="1E79407D" w14:textId="0F232EE8" w:rsidR="006157DE" w:rsidRPr="00F12F90" w:rsidRDefault="006157DE" w:rsidP="006157DE">
      <w:pPr>
        <w:rPr>
          <w:lang w:val="ru-RU"/>
        </w:rPr>
      </w:pPr>
      <w:r w:rsidRPr="00F12F90">
        <w:rPr>
          <w:lang w:val="ru-RU"/>
        </w:rPr>
        <w:lastRenderedPageBreak/>
        <w:t>-</w:t>
      </w:r>
      <w:r w:rsidR="005244A6" w:rsidRPr="00F12F90">
        <w:rPr>
          <w:lang w:val="ru-RU"/>
        </w:rPr>
        <w:t xml:space="preserve"> и</w:t>
      </w:r>
      <w:r w:rsidRPr="00F12F90">
        <w:rPr>
          <w:lang w:val="ru-RU"/>
        </w:rPr>
        <w:t xml:space="preserve">нфекции внутри или в непосредственной близости </w:t>
      </w:r>
      <w:r w:rsidR="005244A6" w:rsidRPr="00F12F90">
        <w:rPr>
          <w:lang w:val="ru-RU"/>
        </w:rPr>
        <w:t>от сустава, подлежащего лечению</w:t>
      </w:r>
    </w:p>
    <w:p w14:paraId="5551FEBE" w14:textId="34BB5C3E" w:rsidR="006157DE" w:rsidRPr="00F12F90" w:rsidRDefault="00400AD5" w:rsidP="006157DE">
      <w:pPr>
        <w:rPr>
          <w:lang w:val="ru-RU"/>
        </w:rPr>
      </w:pPr>
      <w:r w:rsidRPr="00F12F90">
        <w:rPr>
          <w:lang w:val="ru-RU"/>
        </w:rPr>
        <w:t>-</w:t>
      </w:r>
      <w:r w:rsidR="005244A6" w:rsidRPr="00F12F90">
        <w:rPr>
          <w:lang w:val="ru-RU"/>
        </w:rPr>
        <w:t xml:space="preserve"> бактериальный артрит</w:t>
      </w:r>
    </w:p>
    <w:p w14:paraId="24E3F535" w14:textId="7CB79DF3" w:rsidR="006157DE" w:rsidRPr="00F12F90" w:rsidRDefault="00400AD5" w:rsidP="006157DE">
      <w:pPr>
        <w:rPr>
          <w:lang w:val="ru-RU"/>
        </w:rPr>
      </w:pPr>
      <w:r w:rsidRPr="00F12F90">
        <w:rPr>
          <w:lang w:val="ru-RU"/>
        </w:rPr>
        <w:t>-</w:t>
      </w:r>
      <w:r w:rsidR="005244A6" w:rsidRPr="00F12F90">
        <w:rPr>
          <w:lang w:val="ru-RU"/>
        </w:rPr>
        <w:t xml:space="preserve"> н</w:t>
      </w:r>
      <w:r w:rsidR="006157DE" w:rsidRPr="00F12F90">
        <w:rPr>
          <w:lang w:val="ru-RU"/>
        </w:rPr>
        <w:t>естабильность сустава, подлежащего лечени</w:t>
      </w:r>
      <w:r w:rsidR="005244A6" w:rsidRPr="00F12F90">
        <w:rPr>
          <w:lang w:val="ru-RU"/>
        </w:rPr>
        <w:t>ю</w:t>
      </w:r>
    </w:p>
    <w:p w14:paraId="2454AF9D" w14:textId="77777777" w:rsidR="005244A6" w:rsidRPr="00F12F90" w:rsidRDefault="0013774A" w:rsidP="006157DE">
      <w:pPr>
        <w:rPr>
          <w:lang w:val="ru-RU"/>
        </w:rPr>
      </w:pPr>
      <w:r w:rsidRPr="00F12F90">
        <w:rPr>
          <w:lang w:val="ru-RU"/>
        </w:rPr>
        <w:t>-</w:t>
      </w:r>
      <w:r w:rsidR="005244A6" w:rsidRPr="00F12F90">
        <w:rPr>
          <w:lang w:val="ru-RU"/>
        </w:rPr>
        <w:t xml:space="preserve"> с</w:t>
      </w:r>
      <w:r w:rsidR="006157DE" w:rsidRPr="00F12F90">
        <w:rPr>
          <w:lang w:val="ru-RU"/>
        </w:rPr>
        <w:t>клонность к кровотечениям (спонтан</w:t>
      </w:r>
      <w:r w:rsidRPr="00F12F90">
        <w:rPr>
          <w:lang w:val="ru-RU"/>
        </w:rPr>
        <w:t>но или из-за антикоагулянтов)</w:t>
      </w:r>
    </w:p>
    <w:p w14:paraId="123B4D52" w14:textId="4B57B975" w:rsidR="006157DE" w:rsidRPr="00F12F90" w:rsidRDefault="0013774A" w:rsidP="006157DE">
      <w:pPr>
        <w:rPr>
          <w:lang w:val="ru-RU"/>
        </w:rPr>
      </w:pPr>
      <w:r w:rsidRPr="00F12F90">
        <w:rPr>
          <w:lang w:val="ru-RU"/>
        </w:rPr>
        <w:t>-</w:t>
      </w:r>
      <w:r w:rsidR="005244A6" w:rsidRPr="00F12F90">
        <w:rPr>
          <w:lang w:val="ru-RU"/>
        </w:rPr>
        <w:t xml:space="preserve"> </w:t>
      </w:r>
      <w:proofErr w:type="gramStart"/>
      <w:r w:rsidR="005244A6" w:rsidRPr="00F12F90">
        <w:rPr>
          <w:lang w:val="ru-RU"/>
        </w:rPr>
        <w:t>м</w:t>
      </w:r>
      <w:r w:rsidRPr="00F12F90">
        <w:rPr>
          <w:lang w:val="ru-RU"/>
        </w:rPr>
        <w:t>етастатическая</w:t>
      </w:r>
      <w:proofErr w:type="gram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кальцификация</w:t>
      </w:r>
      <w:proofErr w:type="spell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периартикулярных</w:t>
      </w:r>
      <w:proofErr w:type="spellEnd"/>
      <w:r w:rsidRPr="00F12F90">
        <w:rPr>
          <w:lang w:val="ru-RU"/>
        </w:rPr>
        <w:t xml:space="preserve"> тканей</w:t>
      </w:r>
    </w:p>
    <w:p w14:paraId="35FBAB0A" w14:textId="19C4A6C3" w:rsidR="006157DE" w:rsidRPr="00F12F90" w:rsidRDefault="007C691B" w:rsidP="006157DE">
      <w:pPr>
        <w:rPr>
          <w:lang w:val="ru-RU"/>
        </w:rPr>
      </w:pPr>
      <w:r w:rsidRPr="00F12F90">
        <w:rPr>
          <w:lang w:val="ru-RU"/>
        </w:rPr>
        <w:t>-</w:t>
      </w:r>
      <w:r w:rsidR="005244A6" w:rsidRPr="00F12F90">
        <w:rPr>
          <w:lang w:val="ru-RU"/>
        </w:rPr>
        <w:t xml:space="preserve"> а</w:t>
      </w:r>
      <w:r w:rsidR="00E06B2C" w:rsidRPr="00F12F90">
        <w:rPr>
          <w:lang w:val="ru-RU"/>
        </w:rPr>
        <w:t xml:space="preserve">васкулярный </w:t>
      </w:r>
      <w:r w:rsidR="005244A6" w:rsidRPr="00F12F90">
        <w:rPr>
          <w:lang w:val="ru-RU"/>
        </w:rPr>
        <w:t>некроз кости</w:t>
      </w:r>
    </w:p>
    <w:p w14:paraId="5127DC62" w14:textId="10440FA0" w:rsidR="006157DE" w:rsidRPr="00F12F90" w:rsidRDefault="007C691B" w:rsidP="006157DE">
      <w:pPr>
        <w:rPr>
          <w:lang w:val="ru-RU"/>
        </w:rPr>
      </w:pPr>
      <w:r w:rsidRPr="00F12F90">
        <w:rPr>
          <w:lang w:val="ru-RU"/>
        </w:rPr>
        <w:t>-</w:t>
      </w:r>
      <w:r w:rsidR="005244A6" w:rsidRPr="00F12F90">
        <w:rPr>
          <w:lang w:val="ru-RU"/>
        </w:rPr>
        <w:t xml:space="preserve"> р</w:t>
      </w:r>
      <w:r w:rsidR="006157DE" w:rsidRPr="00F12F90">
        <w:rPr>
          <w:lang w:val="ru-RU"/>
        </w:rPr>
        <w:t xml:space="preserve">азрыв сухожилия </w:t>
      </w:r>
    </w:p>
    <w:p w14:paraId="18F7B1BA" w14:textId="427E7453" w:rsidR="00511E61" w:rsidRPr="00F12F90" w:rsidRDefault="007C691B" w:rsidP="00511E61">
      <w:pPr>
        <w:rPr>
          <w:lang w:val="ru-RU"/>
        </w:rPr>
      </w:pPr>
      <w:r w:rsidRPr="00F12F90">
        <w:rPr>
          <w:lang w:val="ru-RU"/>
        </w:rPr>
        <w:t>-</w:t>
      </w:r>
      <w:r w:rsidR="005244A6" w:rsidRPr="00F12F90">
        <w:rPr>
          <w:lang w:val="ru-RU"/>
        </w:rPr>
        <w:t xml:space="preserve"> с</w:t>
      </w:r>
      <w:r w:rsidR="006157DE" w:rsidRPr="00F12F90">
        <w:rPr>
          <w:lang w:val="ru-RU"/>
        </w:rPr>
        <w:t>устав Шарко</w:t>
      </w:r>
    </w:p>
    <w:p w14:paraId="1F63F24D" w14:textId="1C82E1E7" w:rsidR="00E06B2C" w:rsidRPr="00F12F90" w:rsidRDefault="009529AD" w:rsidP="00511E61">
      <w:pPr>
        <w:jc w:val="both"/>
        <w:rPr>
          <w:lang w:val="ru-RU"/>
        </w:rPr>
      </w:pPr>
      <w:r w:rsidRPr="00F12F90">
        <w:rPr>
          <w:lang w:val="ru-RU"/>
        </w:rPr>
        <w:t>Проведение местной инфильтрации без дополнительной этиотропной терапии противопоказано в случае наличия инфекции в области введения</w:t>
      </w:r>
      <w:r w:rsidR="00E06B2C" w:rsidRPr="00F12F90">
        <w:rPr>
          <w:lang w:val="ru-RU"/>
        </w:rPr>
        <w:t xml:space="preserve">, </w:t>
      </w:r>
      <w:r w:rsidR="00511E61" w:rsidRPr="00F12F90">
        <w:rPr>
          <w:lang w:val="ru-RU"/>
        </w:rPr>
        <w:t xml:space="preserve">а также при </w:t>
      </w:r>
      <w:proofErr w:type="spellStart"/>
      <w:r w:rsidR="00511E61" w:rsidRPr="00F12F90">
        <w:rPr>
          <w:lang w:val="ru-RU"/>
        </w:rPr>
        <w:t>субконъюнктивальном</w:t>
      </w:r>
      <w:proofErr w:type="spellEnd"/>
      <w:r w:rsidR="00511E61" w:rsidRPr="00F12F90">
        <w:rPr>
          <w:lang w:val="ru-RU"/>
        </w:rPr>
        <w:t xml:space="preserve"> применении для лечения вирусных, бактериальных и грибковых </w:t>
      </w:r>
      <w:r w:rsidR="00C05B85" w:rsidRPr="00F12F90">
        <w:rPr>
          <w:lang w:val="ru-RU"/>
        </w:rPr>
        <w:t>инфекций</w:t>
      </w:r>
      <w:r w:rsidR="00511E61" w:rsidRPr="00F12F90">
        <w:rPr>
          <w:lang w:val="ru-RU"/>
        </w:rPr>
        <w:t xml:space="preserve"> глаз</w:t>
      </w:r>
      <w:r w:rsidR="00C05B85" w:rsidRPr="00F12F90">
        <w:rPr>
          <w:lang w:val="ru-RU"/>
        </w:rPr>
        <w:t>а</w:t>
      </w:r>
      <w:r w:rsidR="00511E61" w:rsidRPr="00F12F90">
        <w:rPr>
          <w:lang w:val="ru-RU"/>
        </w:rPr>
        <w:t xml:space="preserve">, </w:t>
      </w:r>
      <w:r w:rsidR="00E06B2C" w:rsidRPr="00F12F90">
        <w:rPr>
          <w:lang w:val="ru-RU"/>
        </w:rPr>
        <w:t>при травма</w:t>
      </w:r>
      <w:r w:rsidR="00C05B85" w:rsidRPr="00F12F90">
        <w:rPr>
          <w:lang w:val="ru-RU"/>
        </w:rPr>
        <w:t xml:space="preserve">х и язвенных процессах роговицы без проведения специфической </w:t>
      </w:r>
      <w:proofErr w:type="spellStart"/>
      <w:r w:rsidR="00C05B85" w:rsidRPr="00F12F90">
        <w:rPr>
          <w:lang w:val="ru-RU"/>
        </w:rPr>
        <w:t>противоинфекционной</w:t>
      </w:r>
      <w:proofErr w:type="spellEnd"/>
      <w:r w:rsidR="00C05B85" w:rsidRPr="00F12F90">
        <w:rPr>
          <w:lang w:val="ru-RU"/>
        </w:rPr>
        <w:t xml:space="preserve"> терапии</w:t>
      </w:r>
      <w:r w:rsidR="00F12F90">
        <w:rPr>
          <w:lang w:val="ru-RU"/>
        </w:rPr>
        <w:t>.</w:t>
      </w:r>
    </w:p>
    <w:p w14:paraId="56F80185" w14:textId="77777777" w:rsidR="006157DE" w:rsidRPr="00F12F90" w:rsidRDefault="006157DE" w:rsidP="0030171E">
      <w:pPr>
        <w:jc w:val="both"/>
        <w:rPr>
          <w:color w:val="000000"/>
          <w:lang w:val="ru-RU"/>
        </w:rPr>
      </w:pPr>
    </w:p>
    <w:p w14:paraId="1265E565" w14:textId="11132B9C" w:rsidR="006232D6" w:rsidRPr="00F12F90" w:rsidRDefault="006232D6" w:rsidP="0030653B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4.4. Особые указания и меры предосторожн</w:t>
      </w:r>
      <w:r w:rsidR="005E7FA3" w:rsidRPr="00F12F90">
        <w:rPr>
          <w:b/>
          <w:lang w:val="ru-RU"/>
        </w:rPr>
        <w:t>ости при применении</w:t>
      </w:r>
    </w:p>
    <w:p w14:paraId="4AE1991A" w14:textId="6734F56B" w:rsidR="00687570" w:rsidRPr="00F12F90" w:rsidRDefault="00594636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В отдельных случаях при применении </w:t>
      </w:r>
      <w:r w:rsidR="00687570" w:rsidRPr="00F12F90">
        <w:rPr>
          <w:lang w:val="ru-RU"/>
        </w:rPr>
        <w:t xml:space="preserve">препарата </w:t>
      </w:r>
      <w:r w:rsidRPr="00F12F90">
        <w:rPr>
          <w:lang w:val="ru-RU"/>
        </w:rPr>
        <w:t xml:space="preserve">наблюдались тяжелые анафилактические реакции с недостаточностью кровообращения, остановкой сердца, аритмиями, </w:t>
      </w:r>
      <w:proofErr w:type="spellStart"/>
      <w:r w:rsidRPr="00F12F90">
        <w:rPr>
          <w:lang w:val="ru-RU"/>
        </w:rPr>
        <w:t>бронхоспазмом</w:t>
      </w:r>
      <w:proofErr w:type="spellEnd"/>
      <w:r w:rsidRPr="00F12F90">
        <w:rPr>
          <w:lang w:val="ru-RU"/>
        </w:rPr>
        <w:t xml:space="preserve"> и/или падением или повышением артериального давления. Из-за </w:t>
      </w:r>
      <w:proofErr w:type="spellStart"/>
      <w:r w:rsidRPr="00F12F90">
        <w:rPr>
          <w:lang w:val="ru-RU"/>
        </w:rPr>
        <w:t>иммуносупрессии</w:t>
      </w:r>
      <w:proofErr w:type="spellEnd"/>
      <w:r w:rsidRPr="00F12F90">
        <w:rPr>
          <w:lang w:val="ru-RU"/>
        </w:rPr>
        <w:t xml:space="preserve"> лечение препаратом </w:t>
      </w:r>
      <w:r w:rsidR="00D4139C" w:rsidRPr="00F12F90">
        <w:rPr>
          <w:rFonts w:eastAsia="Times New Roman"/>
          <w:bCs/>
          <w:caps/>
          <w:lang w:val="ru-RU"/>
        </w:rPr>
        <w:t>[</w:t>
      </w:r>
      <w:r w:rsidR="00D4139C"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="00D4139C" w:rsidRPr="00F12F90">
        <w:rPr>
          <w:rFonts w:eastAsia="Times New Roman"/>
          <w:bCs/>
          <w:caps/>
          <w:lang w:val="ru-RU"/>
        </w:rPr>
        <w:t>]</w:t>
      </w:r>
      <w:r w:rsidR="008E6C52" w:rsidRPr="00F12F90">
        <w:rPr>
          <w:lang w:val="ru-RU"/>
        </w:rPr>
        <w:t>, раствор для инъекций 4 мг/мл</w:t>
      </w:r>
      <w:r w:rsidRPr="00F12F90">
        <w:rPr>
          <w:lang w:val="ru-RU"/>
        </w:rPr>
        <w:t xml:space="preserve"> может привести к повышенному риску бактериальных, вирусных, паразитарных, условно-патогенных и грибковых инфекций. Симптомы существующей или развивающейся инфекции могут быть замаскированы, что затрудняет диагностику. Скрытые инфекции, такие как туберкулез или гепатит</w:t>
      </w:r>
      <w:proofErr w:type="gramStart"/>
      <w:r w:rsidRPr="00F12F90">
        <w:rPr>
          <w:lang w:val="ru-RU"/>
        </w:rPr>
        <w:t xml:space="preserve"> В</w:t>
      </w:r>
      <w:proofErr w:type="gramEnd"/>
      <w:r w:rsidRPr="00F12F90">
        <w:rPr>
          <w:lang w:val="ru-RU"/>
        </w:rPr>
        <w:t xml:space="preserve">, могут быть реактивированы. </w:t>
      </w:r>
    </w:p>
    <w:p w14:paraId="1496ADD1" w14:textId="2C315D13" w:rsidR="00594636" w:rsidRPr="00F12F90" w:rsidRDefault="00687570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Если во время лечения препаратом </w:t>
      </w:r>
      <w:r w:rsidR="00D4139C" w:rsidRPr="00F12F90">
        <w:rPr>
          <w:rFonts w:eastAsia="Times New Roman"/>
          <w:bCs/>
          <w:caps/>
          <w:lang w:val="ru-RU"/>
        </w:rPr>
        <w:t>[</w:t>
      </w:r>
      <w:r w:rsidR="00D4139C"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="00D4139C"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 xml:space="preserve"> возникают</w:t>
      </w:r>
      <w:r w:rsidR="00E27138" w:rsidRPr="00F12F90">
        <w:rPr>
          <w:lang w:val="ru-RU"/>
        </w:rPr>
        <w:t xml:space="preserve"> особые стрессовые</w:t>
      </w:r>
      <w:r w:rsidRPr="00F12F90">
        <w:rPr>
          <w:lang w:val="ru-RU"/>
        </w:rPr>
        <w:t xml:space="preserve"> ситуации (несчастный случай, хирургическое вмешательство, роды и т. д.), может потребоваться временное увеличение дозы.</w:t>
      </w:r>
    </w:p>
    <w:p w14:paraId="6F603915" w14:textId="01592832" w:rsidR="00594636" w:rsidRPr="00F12F90" w:rsidRDefault="00E27138" w:rsidP="0030653B">
      <w:pPr>
        <w:jc w:val="both"/>
        <w:rPr>
          <w:b/>
          <w:lang w:val="ru-RU"/>
        </w:rPr>
      </w:pPr>
      <w:r w:rsidRPr="00F12F90">
        <w:rPr>
          <w:lang w:val="ru-RU"/>
        </w:rPr>
        <w:t xml:space="preserve">Системные кортикостероиды не следует отменять у пациентов, которые уже получают системные (пероральные) кортикостероиды по другим причинам (например, у пациентов с хронической </w:t>
      </w:r>
      <w:proofErr w:type="spellStart"/>
      <w:r w:rsidRPr="00F12F90">
        <w:rPr>
          <w:lang w:val="ru-RU"/>
        </w:rPr>
        <w:t>обструктивной</w:t>
      </w:r>
      <w:proofErr w:type="spellEnd"/>
      <w:r w:rsidRPr="00F12F90">
        <w:rPr>
          <w:lang w:val="ru-RU"/>
        </w:rPr>
        <w:t xml:space="preserve"> болезнью легких), </w:t>
      </w:r>
      <w:r w:rsidR="006F2AE3" w:rsidRPr="00F12F90">
        <w:rPr>
          <w:lang w:val="ru-RU"/>
        </w:rPr>
        <w:t xml:space="preserve">при условии отсутствия необходимости в дополнительной </w:t>
      </w:r>
      <w:proofErr w:type="spellStart"/>
      <w:r w:rsidR="006F2AE3" w:rsidRPr="00F12F90">
        <w:rPr>
          <w:lang w:val="ru-RU"/>
        </w:rPr>
        <w:t>оксигенной</w:t>
      </w:r>
      <w:proofErr w:type="spellEnd"/>
      <w:r w:rsidR="006F2AE3" w:rsidRPr="00F12F90">
        <w:rPr>
          <w:lang w:val="ru-RU"/>
        </w:rPr>
        <w:t xml:space="preserve"> терапии.</w:t>
      </w:r>
    </w:p>
    <w:p w14:paraId="15AB4982" w14:textId="6C77B012" w:rsidR="003203E5" w:rsidRPr="00F12F90" w:rsidRDefault="003203E5" w:rsidP="0030653B">
      <w:pPr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  <w:lang w:val="ru-RU"/>
        </w:rPr>
      </w:pPr>
      <w:r w:rsidRPr="00F12F90">
        <w:rPr>
          <w:lang w:val="ru-RU"/>
        </w:rPr>
        <w:t xml:space="preserve">Терапию препаратом </w:t>
      </w:r>
      <w:r w:rsidR="00D4139C" w:rsidRPr="00F12F90">
        <w:rPr>
          <w:rFonts w:eastAsia="Times New Roman"/>
          <w:bCs/>
          <w:caps/>
          <w:lang w:val="ru-RU"/>
        </w:rPr>
        <w:t>[</w:t>
      </w:r>
      <w:r w:rsidR="00D4139C"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="00D4139C" w:rsidRPr="00F12F90">
        <w:rPr>
          <w:rFonts w:eastAsia="Times New Roman"/>
          <w:bCs/>
          <w:caps/>
          <w:lang w:val="ru-RU"/>
        </w:rPr>
        <w:t>]</w:t>
      </w:r>
      <w:r w:rsidR="006F48F2">
        <w:rPr>
          <w:rFonts w:eastAsia="Times New Roman"/>
          <w:bCs/>
          <w:caps/>
          <w:lang w:val="ru-RU"/>
        </w:rPr>
        <w:t xml:space="preserve"> </w:t>
      </w:r>
      <w:r w:rsidRPr="00F12F90">
        <w:rPr>
          <w:lang w:val="ru-RU"/>
        </w:rPr>
        <w:t>следует проводить только при наличии строгих</w:t>
      </w:r>
      <w:r w:rsidR="0030653B" w:rsidRPr="00F12F90">
        <w:rPr>
          <w:lang w:val="ru-RU"/>
        </w:rPr>
        <w:t xml:space="preserve"> показаний и,</w:t>
      </w:r>
      <w:r w:rsidR="00764AAD" w:rsidRPr="00F12F90">
        <w:rPr>
          <w:lang w:val="ru-RU"/>
        </w:rPr>
        <w:t xml:space="preserve"> при необходимости</w:t>
      </w:r>
      <w:r w:rsidR="0030653B" w:rsidRPr="00F12F90">
        <w:rPr>
          <w:lang w:val="ru-RU"/>
        </w:rPr>
        <w:t>, сопровождать</w:t>
      </w:r>
      <w:r w:rsidRPr="00F12F90">
        <w:rPr>
          <w:lang w:val="ru-RU"/>
        </w:rPr>
        <w:t xml:space="preserve"> дополнительной </w:t>
      </w:r>
      <w:proofErr w:type="spellStart"/>
      <w:r w:rsidRPr="00F12F90">
        <w:rPr>
          <w:lang w:val="ru-RU"/>
        </w:rPr>
        <w:t>таргетной</w:t>
      </w:r>
      <w:proofErr w:type="spell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противоинфекционной</w:t>
      </w:r>
      <w:proofErr w:type="spellEnd"/>
      <w:r w:rsidRPr="00F12F90">
        <w:rPr>
          <w:lang w:val="ru-RU"/>
        </w:rPr>
        <w:t xml:space="preserve"> терапи</w:t>
      </w:r>
      <w:r w:rsidR="008E6C52" w:rsidRPr="00F12F90">
        <w:rPr>
          <w:lang w:val="ru-RU"/>
        </w:rPr>
        <w:t>ей</w:t>
      </w:r>
      <w:r w:rsidRPr="00F12F90">
        <w:rPr>
          <w:lang w:val="ru-RU"/>
        </w:rPr>
        <w:t xml:space="preserve"> при следующих </w:t>
      </w:r>
      <w:r w:rsidR="004A506E" w:rsidRPr="00F12F90">
        <w:rPr>
          <w:lang w:val="ru-RU"/>
        </w:rPr>
        <w:t>показаниях</w:t>
      </w:r>
      <w:r w:rsidRPr="00F12F90">
        <w:rPr>
          <w:lang w:val="ru-RU"/>
        </w:rPr>
        <w:t>:</w:t>
      </w:r>
      <w:r w:rsidRPr="00F12F90">
        <w:rPr>
          <w:rFonts w:ascii="Helvetica" w:hAnsi="Helvetica" w:cs="Helvetica"/>
          <w:color w:val="000000"/>
          <w:sz w:val="27"/>
          <w:szCs w:val="27"/>
          <w:shd w:val="clear" w:color="auto" w:fill="F5F5F5"/>
          <w:lang w:val="ru-RU"/>
        </w:rPr>
        <w:t xml:space="preserve"> </w:t>
      </w:r>
    </w:p>
    <w:p w14:paraId="597ADFED" w14:textId="142D1BBB" w:rsidR="00594636" w:rsidRPr="00F12F90" w:rsidRDefault="00A94C71" w:rsidP="0030653B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D4139C" w:rsidRPr="00F12F90">
        <w:rPr>
          <w:lang w:val="ru-RU"/>
        </w:rPr>
        <w:t xml:space="preserve"> </w:t>
      </w:r>
      <w:r w:rsidR="003203E5" w:rsidRPr="00F12F90">
        <w:rPr>
          <w:lang w:val="ru-RU"/>
        </w:rPr>
        <w:t>острые вирусные инфекции (гепатит</w:t>
      </w:r>
      <w:proofErr w:type="gramStart"/>
      <w:r w:rsidR="003203E5" w:rsidRPr="00F12F90">
        <w:rPr>
          <w:lang w:val="ru-RU"/>
        </w:rPr>
        <w:t xml:space="preserve"> В</w:t>
      </w:r>
      <w:proofErr w:type="gramEnd"/>
      <w:r w:rsidR="003203E5" w:rsidRPr="00F12F90">
        <w:rPr>
          <w:lang w:val="ru-RU"/>
        </w:rPr>
        <w:t>, опоясывающий герпес, простой герпес, ветряная оспа, герпетический кератит)</w:t>
      </w:r>
      <w:r w:rsidRPr="00F12F90">
        <w:rPr>
          <w:lang w:val="ru-RU"/>
        </w:rPr>
        <w:t>;</w:t>
      </w:r>
    </w:p>
    <w:p w14:paraId="59ED6655" w14:textId="1034B45B" w:rsidR="00594636" w:rsidRPr="00F12F90" w:rsidRDefault="00A94C71" w:rsidP="0030653B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4A506E"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HBsAg</w:t>
      </w:r>
      <w:proofErr w:type="spellEnd"/>
      <w:r w:rsidRPr="00F12F90">
        <w:rPr>
          <w:lang w:val="ru-RU"/>
        </w:rPr>
        <w:t>-положительный хронический активный гепатит;</w:t>
      </w:r>
    </w:p>
    <w:p w14:paraId="037B9F8D" w14:textId="50F7C925" w:rsidR="00594636" w:rsidRPr="00F12F90" w:rsidRDefault="00A94C71" w:rsidP="0030653B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4A506E" w:rsidRPr="00F12F90">
        <w:rPr>
          <w:lang w:val="ru-RU"/>
        </w:rPr>
        <w:t xml:space="preserve"> </w:t>
      </w:r>
      <w:r w:rsidRPr="00F12F90">
        <w:rPr>
          <w:lang w:val="ru-RU"/>
        </w:rPr>
        <w:t>примерно за 8 недель до и через 2 недели после вакцинации живыми вакцинами;</w:t>
      </w:r>
    </w:p>
    <w:p w14:paraId="38A4A171" w14:textId="4CEC7239" w:rsidR="00594636" w:rsidRPr="00F12F90" w:rsidRDefault="00A94C71" w:rsidP="0030653B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4A506E" w:rsidRPr="00F12F90">
        <w:rPr>
          <w:lang w:val="ru-RU"/>
        </w:rPr>
        <w:t xml:space="preserve"> </w:t>
      </w:r>
      <w:r w:rsidRPr="00F12F90">
        <w:rPr>
          <w:lang w:val="ru-RU"/>
        </w:rPr>
        <w:t xml:space="preserve">системные микозы и </w:t>
      </w:r>
      <w:proofErr w:type="spellStart"/>
      <w:r w:rsidRPr="00F12F90">
        <w:rPr>
          <w:lang w:val="ru-RU"/>
        </w:rPr>
        <w:t>паразитозы</w:t>
      </w:r>
      <w:proofErr w:type="spellEnd"/>
      <w:r w:rsidRPr="00F12F90">
        <w:rPr>
          <w:lang w:val="ru-RU"/>
        </w:rPr>
        <w:t xml:space="preserve"> (например, нематоды);</w:t>
      </w:r>
    </w:p>
    <w:p w14:paraId="2CC1AAEE" w14:textId="1652ED70" w:rsidR="00A94C71" w:rsidRPr="00F12F90" w:rsidRDefault="00A94C71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- у </w:t>
      </w:r>
      <w:r w:rsidR="0030653B" w:rsidRPr="00F12F90">
        <w:rPr>
          <w:lang w:val="ru-RU"/>
        </w:rPr>
        <w:t xml:space="preserve">пациентов </w:t>
      </w:r>
      <w:r w:rsidRPr="00F12F90">
        <w:rPr>
          <w:lang w:val="ru-RU"/>
        </w:rPr>
        <w:t xml:space="preserve">с подозрением или подтвержденным </w:t>
      </w:r>
      <w:proofErr w:type="spellStart"/>
      <w:r w:rsidRPr="00F12F90">
        <w:rPr>
          <w:lang w:val="ru-RU"/>
        </w:rPr>
        <w:t>стронгилоидозом</w:t>
      </w:r>
      <w:proofErr w:type="spellEnd"/>
      <w:r w:rsidRPr="00F12F90">
        <w:rPr>
          <w:lang w:val="ru-RU"/>
        </w:rPr>
        <w:t xml:space="preserve"> (заражение мелкими аскаридами)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иды</w:t>
      </w:r>
      <w:proofErr w:type="spellEnd"/>
      <w:r w:rsidRPr="00F12F90">
        <w:rPr>
          <w:lang w:val="ru-RU"/>
        </w:rPr>
        <w:t xml:space="preserve"> могут привести к активации и </w:t>
      </w:r>
      <w:r w:rsidR="004A506E" w:rsidRPr="00F12F90">
        <w:rPr>
          <w:lang w:val="ru-RU"/>
        </w:rPr>
        <w:t>массовому размножению паразитов);</w:t>
      </w:r>
    </w:p>
    <w:p w14:paraId="202F1432" w14:textId="5ECF87D8" w:rsidR="00A94C71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>- полиомиелит;</w:t>
      </w:r>
    </w:p>
    <w:p w14:paraId="6561B064" w14:textId="77B86E74" w:rsidR="00A94C71" w:rsidRPr="00F12F90" w:rsidRDefault="00A94C71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- </w:t>
      </w:r>
      <w:r w:rsidR="004A506E" w:rsidRPr="00F12F90">
        <w:rPr>
          <w:lang w:val="ru-RU"/>
        </w:rPr>
        <w:t>лимфаденит после прививки БЦЖ;</w:t>
      </w:r>
    </w:p>
    <w:p w14:paraId="23629A13" w14:textId="4F72EAEB" w:rsidR="00A94C71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>- о</w:t>
      </w:r>
      <w:r w:rsidR="00A94C71" w:rsidRPr="00F12F90">
        <w:rPr>
          <w:lang w:val="ru-RU"/>
        </w:rPr>
        <w:t>стрые и хро</w:t>
      </w:r>
      <w:r w:rsidRPr="00F12F90">
        <w:rPr>
          <w:lang w:val="ru-RU"/>
        </w:rPr>
        <w:t>нические бактериальные инфекции;</w:t>
      </w:r>
    </w:p>
    <w:p w14:paraId="3F3DC1CA" w14:textId="06AB22F3" w:rsidR="003203E5" w:rsidRPr="00F12F90" w:rsidRDefault="00A94C71" w:rsidP="0030653B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4A506E" w:rsidRPr="00F12F90">
        <w:rPr>
          <w:lang w:val="ru-RU"/>
        </w:rPr>
        <w:t xml:space="preserve"> </w:t>
      </w:r>
      <w:r w:rsidRPr="00F12F90">
        <w:rPr>
          <w:lang w:val="ru-RU"/>
        </w:rPr>
        <w:t xml:space="preserve">при туберкулезе в анамнезе применять только под </w:t>
      </w:r>
      <w:proofErr w:type="spellStart"/>
      <w:r w:rsidRPr="00F12F90">
        <w:rPr>
          <w:lang w:val="ru-RU"/>
        </w:rPr>
        <w:t>туберкулостатической</w:t>
      </w:r>
      <w:proofErr w:type="spellEnd"/>
      <w:r w:rsidRPr="00F12F90">
        <w:rPr>
          <w:lang w:val="ru-RU"/>
        </w:rPr>
        <w:t xml:space="preserve"> защитой</w:t>
      </w:r>
      <w:r w:rsidR="004A506E" w:rsidRPr="00F12F90">
        <w:rPr>
          <w:lang w:val="ru-RU"/>
        </w:rPr>
        <w:t>.</w:t>
      </w:r>
    </w:p>
    <w:p w14:paraId="35BCC5EE" w14:textId="4E15D18C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Кроме того, терапию препаратом </w:t>
      </w:r>
      <w:r w:rsidR="00D4139C" w:rsidRPr="00F12F90">
        <w:rPr>
          <w:rFonts w:eastAsia="Times New Roman"/>
          <w:bCs/>
          <w:caps/>
          <w:lang w:val="ru-RU"/>
        </w:rPr>
        <w:t>[</w:t>
      </w:r>
      <w:r w:rsidR="00D4139C"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="00D4139C" w:rsidRPr="00F12F90">
        <w:rPr>
          <w:rFonts w:eastAsia="Times New Roman"/>
          <w:bCs/>
          <w:caps/>
          <w:lang w:val="ru-RU"/>
        </w:rPr>
        <w:t>]</w:t>
      </w:r>
      <w:r w:rsidR="00C0216C" w:rsidRPr="00F12F90">
        <w:rPr>
          <w:lang w:val="ru-RU"/>
        </w:rPr>
        <w:t xml:space="preserve"> </w:t>
      </w:r>
      <w:r w:rsidRPr="00F12F90">
        <w:rPr>
          <w:lang w:val="ru-RU"/>
        </w:rPr>
        <w:t>следует проводить только при наличии строгих показаний и при необходимости дополнительной специфической терапии в следующих случаях:</w:t>
      </w:r>
    </w:p>
    <w:p w14:paraId="26F2EF4A" w14:textId="77777777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>- язвы желудочно-кишечного тракта;</w:t>
      </w:r>
    </w:p>
    <w:p w14:paraId="318EEDBF" w14:textId="44C3A43A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>- остеопороз;</w:t>
      </w:r>
    </w:p>
    <w:p w14:paraId="6CB33363" w14:textId="77777777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>- тяжелая сердечная недостаточность;</w:t>
      </w:r>
    </w:p>
    <w:p w14:paraId="260B2AE9" w14:textId="77777777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lastRenderedPageBreak/>
        <w:t>- трудно контролируемая артериальная гипертензия;</w:t>
      </w:r>
    </w:p>
    <w:p w14:paraId="789710DF" w14:textId="77777777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>- трудно контролируемый сахарный диабет;</w:t>
      </w:r>
    </w:p>
    <w:p w14:paraId="1A1A803F" w14:textId="77777777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- психические расстройства (в </w:t>
      </w:r>
      <w:proofErr w:type="spellStart"/>
      <w:r w:rsidRPr="00F12F90">
        <w:rPr>
          <w:lang w:val="ru-RU"/>
        </w:rPr>
        <w:t>т.ч</w:t>
      </w:r>
      <w:proofErr w:type="spellEnd"/>
      <w:r w:rsidRPr="00F12F90">
        <w:rPr>
          <w:lang w:val="ru-RU"/>
        </w:rPr>
        <w:t>. в анамнезе), включая суицидальные наклонности - рекомендуется неврологический или психиатрический мониторинг;</w:t>
      </w:r>
    </w:p>
    <w:p w14:paraId="70E200D5" w14:textId="77777777" w:rsidR="004A506E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- </w:t>
      </w:r>
      <w:proofErr w:type="spellStart"/>
      <w:r w:rsidRPr="00F12F90">
        <w:rPr>
          <w:lang w:val="ru-RU"/>
        </w:rPr>
        <w:t>узкоугольная</w:t>
      </w:r>
      <w:proofErr w:type="spellEnd"/>
      <w:r w:rsidRPr="00F12F90">
        <w:rPr>
          <w:lang w:val="ru-RU"/>
        </w:rPr>
        <w:t xml:space="preserve"> и </w:t>
      </w:r>
      <w:proofErr w:type="spellStart"/>
      <w:r w:rsidRPr="00F12F90">
        <w:rPr>
          <w:lang w:val="ru-RU"/>
        </w:rPr>
        <w:t>открытоугольная</w:t>
      </w:r>
      <w:proofErr w:type="spellEnd"/>
      <w:r w:rsidRPr="00F12F90">
        <w:rPr>
          <w:lang w:val="ru-RU"/>
        </w:rPr>
        <w:t xml:space="preserve"> глаукома - рекомендуется офтальмологический мониторинг и сопутствующая терапия;</w:t>
      </w:r>
    </w:p>
    <w:p w14:paraId="3F403ACC" w14:textId="56D4FBB3" w:rsidR="003203E5" w:rsidRPr="00F12F90" w:rsidRDefault="004A506E" w:rsidP="0030653B">
      <w:pPr>
        <w:jc w:val="both"/>
        <w:rPr>
          <w:lang w:val="ru-RU"/>
        </w:rPr>
      </w:pPr>
      <w:r w:rsidRPr="00F12F90">
        <w:rPr>
          <w:lang w:val="ru-RU"/>
        </w:rPr>
        <w:t>- я</w:t>
      </w:r>
      <w:r w:rsidR="007C3F84" w:rsidRPr="00F12F90">
        <w:rPr>
          <w:lang w:val="ru-RU"/>
        </w:rPr>
        <w:t xml:space="preserve">звы и повреждения роговицы - </w:t>
      </w:r>
      <w:r w:rsidRPr="00F12F90">
        <w:rPr>
          <w:lang w:val="ru-RU"/>
        </w:rPr>
        <w:t>рекомендуется офтальмологический мониторинг и сопутствующая терапия.</w:t>
      </w:r>
    </w:p>
    <w:p w14:paraId="1F2F529A" w14:textId="705AA98D" w:rsidR="00B36769" w:rsidRPr="00F12F90" w:rsidRDefault="007C3F84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Из-за риска перфорации кишечника </w:t>
      </w:r>
      <w:r w:rsidR="00B36769" w:rsidRPr="00F12F90">
        <w:rPr>
          <w:lang w:val="ru-RU"/>
        </w:rPr>
        <w:t xml:space="preserve">препарат </w:t>
      </w:r>
      <w:r w:rsidR="00D4139C" w:rsidRPr="00F12F90">
        <w:rPr>
          <w:rFonts w:eastAsia="Times New Roman"/>
          <w:bCs/>
          <w:caps/>
          <w:lang w:val="ru-RU"/>
        </w:rPr>
        <w:t>[</w:t>
      </w:r>
      <w:r w:rsidR="00D4139C"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="00D4139C"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 xml:space="preserve"> можно использовать только при наличии убедительных показаний и под соответствующим контролем в случае: </w:t>
      </w:r>
    </w:p>
    <w:p w14:paraId="75734A1E" w14:textId="607BA7B1" w:rsidR="00B36769" w:rsidRPr="00F12F90" w:rsidRDefault="00B36769" w:rsidP="0030653B">
      <w:pPr>
        <w:jc w:val="both"/>
        <w:rPr>
          <w:lang w:val="ru-RU"/>
        </w:rPr>
      </w:pPr>
      <w:r w:rsidRPr="00F12F90">
        <w:rPr>
          <w:lang w:val="ru-RU"/>
        </w:rPr>
        <w:t>- т</w:t>
      </w:r>
      <w:r w:rsidR="007C3F84" w:rsidRPr="00F12F90">
        <w:rPr>
          <w:lang w:val="ru-RU"/>
        </w:rPr>
        <w:t>яжелый язвенный колит с угрозой перфорации, воз</w:t>
      </w:r>
      <w:r w:rsidRPr="00F12F90">
        <w:rPr>
          <w:lang w:val="ru-RU"/>
        </w:rPr>
        <w:t>можно, без раздражения брюшины;</w:t>
      </w:r>
    </w:p>
    <w:p w14:paraId="63D09D2A" w14:textId="78AD2B75" w:rsidR="00B36769" w:rsidRPr="00F12F90" w:rsidRDefault="00B36769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- </w:t>
      </w:r>
      <w:proofErr w:type="spellStart"/>
      <w:r w:rsidRPr="00F12F90">
        <w:rPr>
          <w:lang w:val="ru-RU"/>
        </w:rPr>
        <w:t>д</w:t>
      </w:r>
      <w:r w:rsidR="007C3F84" w:rsidRPr="00F12F90">
        <w:rPr>
          <w:lang w:val="ru-RU"/>
        </w:rPr>
        <w:t>ивертикул</w:t>
      </w:r>
      <w:r w:rsidRPr="00F12F90">
        <w:rPr>
          <w:lang w:val="ru-RU"/>
        </w:rPr>
        <w:t>ит</w:t>
      </w:r>
      <w:proofErr w:type="spellEnd"/>
      <w:r w:rsidRPr="00F12F90">
        <w:rPr>
          <w:lang w:val="ru-RU"/>
        </w:rPr>
        <w:t>;</w:t>
      </w:r>
    </w:p>
    <w:p w14:paraId="577151DF" w14:textId="2A591CB0" w:rsidR="00B36769" w:rsidRPr="00F12F90" w:rsidRDefault="00B36769" w:rsidP="0030653B">
      <w:pPr>
        <w:jc w:val="both"/>
        <w:rPr>
          <w:lang w:val="ru-RU"/>
        </w:rPr>
      </w:pPr>
      <w:r w:rsidRPr="00F12F90">
        <w:rPr>
          <w:lang w:val="ru-RU"/>
        </w:rPr>
        <w:t xml:space="preserve">- </w:t>
      </w:r>
      <w:proofErr w:type="spellStart"/>
      <w:r w:rsidRPr="00F12F90">
        <w:rPr>
          <w:lang w:val="ru-RU"/>
        </w:rPr>
        <w:t>э</w:t>
      </w:r>
      <w:r w:rsidR="007C3F84" w:rsidRPr="00F12F90">
        <w:rPr>
          <w:lang w:val="ru-RU"/>
        </w:rPr>
        <w:t>нтероанастомозы</w:t>
      </w:r>
      <w:proofErr w:type="spellEnd"/>
      <w:r w:rsidR="007C3F84" w:rsidRPr="00F12F90">
        <w:rPr>
          <w:lang w:val="ru-RU"/>
        </w:rPr>
        <w:t xml:space="preserve"> (сразу после операции)</w:t>
      </w:r>
      <w:r w:rsidRPr="00F12F90">
        <w:rPr>
          <w:lang w:val="ru-RU"/>
        </w:rPr>
        <w:t>.</w:t>
      </w:r>
    </w:p>
    <w:p w14:paraId="2A073475" w14:textId="066BB157" w:rsidR="007C3F84" w:rsidRPr="00F12F90" w:rsidRDefault="007C3F84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Признаки раздражения брюшины после перфорации желудочно-кишечного тракта могут отсутствовать у пациентов, получающих высокие дозы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идов</w:t>
      </w:r>
      <w:proofErr w:type="spellEnd"/>
      <w:r w:rsidRPr="00F12F90">
        <w:rPr>
          <w:lang w:val="ru-RU"/>
        </w:rPr>
        <w:t xml:space="preserve">. Во время применения </w:t>
      </w:r>
      <w:r w:rsidR="00B36769" w:rsidRPr="00F12F90">
        <w:rPr>
          <w:lang w:val="ru-RU"/>
        </w:rPr>
        <w:t xml:space="preserve">препарата пациентами с </w:t>
      </w:r>
      <w:r w:rsidRPr="00F12F90">
        <w:rPr>
          <w:lang w:val="ru-RU"/>
        </w:rPr>
        <w:t xml:space="preserve">сахарным диабетом необходимо учитывать возможную повышенную потребность в инсулине или пероральных противодиабетических </w:t>
      </w:r>
      <w:r w:rsidR="00B36769" w:rsidRPr="00F12F90">
        <w:rPr>
          <w:lang w:val="ru-RU"/>
        </w:rPr>
        <w:t>препаратах.</w:t>
      </w:r>
    </w:p>
    <w:p w14:paraId="1E1C8AD7" w14:textId="2410EA5B" w:rsidR="003203E5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Во время лечения препаратом требуется регулярный контроль артериального давления, особенно при применении высоких доз и у пациентов с трудно </w:t>
      </w:r>
      <w:r w:rsidR="00A91517" w:rsidRPr="00F12F90">
        <w:rPr>
          <w:lang w:val="ru-RU"/>
        </w:rPr>
        <w:t>контролируемой</w:t>
      </w:r>
      <w:r w:rsidRPr="00F12F90">
        <w:rPr>
          <w:lang w:val="ru-RU"/>
        </w:rPr>
        <w:t xml:space="preserve"> артериальной гипертензией.</w:t>
      </w:r>
    </w:p>
    <w:p w14:paraId="48070EB4" w14:textId="0E03D73E" w:rsidR="003203E5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>Пациенты с тяжелой сердечной недостаточностью должны находиться под тщательным наблюдением, так как существует риск ухудшения состояния.</w:t>
      </w:r>
    </w:p>
    <w:p w14:paraId="6E687521" w14:textId="2ED7FC68" w:rsidR="004A506E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Брадикардия может возникнуть при приеме высоких доз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>.</w:t>
      </w:r>
    </w:p>
    <w:p w14:paraId="37FB5829" w14:textId="77777777" w:rsidR="00A91517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Возможны тяжелые анафилактические реакции. </w:t>
      </w:r>
    </w:p>
    <w:p w14:paraId="6E6123FC" w14:textId="7E01F0BC" w:rsidR="00A91517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Риск заболеваний сухожилий, </w:t>
      </w:r>
      <w:proofErr w:type="spellStart"/>
      <w:r w:rsidRPr="00F12F90">
        <w:rPr>
          <w:lang w:val="ru-RU"/>
        </w:rPr>
        <w:t>тендинита</w:t>
      </w:r>
      <w:proofErr w:type="spellEnd"/>
      <w:r w:rsidRPr="00F12F90">
        <w:rPr>
          <w:lang w:val="ru-RU"/>
        </w:rPr>
        <w:t xml:space="preserve"> и разрыва сухожилий увеличивается при одновременном применении </w:t>
      </w:r>
      <w:proofErr w:type="spellStart"/>
      <w:r w:rsidRPr="00F12F90">
        <w:rPr>
          <w:lang w:val="ru-RU"/>
        </w:rPr>
        <w:t>фторхинолонов</w:t>
      </w:r>
      <w:proofErr w:type="spellEnd"/>
      <w:r w:rsidRPr="00F12F90">
        <w:rPr>
          <w:lang w:val="ru-RU"/>
        </w:rPr>
        <w:t xml:space="preserve"> и </w:t>
      </w:r>
      <w:proofErr w:type="spellStart"/>
      <w:r w:rsidRPr="00F12F90">
        <w:rPr>
          <w:lang w:val="ru-RU"/>
        </w:rPr>
        <w:t>глюкокортико</w:t>
      </w:r>
      <w:r w:rsidR="00F646AF" w:rsidRPr="00F12F90">
        <w:rPr>
          <w:lang w:val="ru-RU"/>
        </w:rPr>
        <w:t>стероид</w:t>
      </w:r>
      <w:r w:rsidRPr="00F12F90">
        <w:rPr>
          <w:lang w:val="ru-RU"/>
        </w:rPr>
        <w:t>ов</w:t>
      </w:r>
      <w:proofErr w:type="spellEnd"/>
      <w:r w:rsidRPr="00F12F90">
        <w:rPr>
          <w:lang w:val="ru-RU"/>
        </w:rPr>
        <w:t xml:space="preserve">. </w:t>
      </w:r>
    </w:p>
    <w:p w14:paraId="38625D50" w14:textId="41568D72" w:rsidR="004A506E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Сопутствующая миастения может первоначально ухудшиться во время лечения </w:t>
      </w:r>
      <w:r w:rsidR="00A91517" w:rsidRPr="00F12F90">
        <w:rPr>
          <w:lang w:val="ru-RU"/>
        </w:rPr>
        <w:t xml:space="preserve">препаратом </w:t>
      </w:r>
      <w:r w:rsidR="00085413" w:rsidRPr="00F12F90">
        <w:rPr>
          <w:rFonts w:eastAsia="Times New Roman"/>
          <w:bCs/>
          <w:caps/>
          <w:lang w:val="ru-RU"/>
        </w:rPr>
        <w:t>[</w:t>
      </w:r>
      <w:r w:rsidR="00085413"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="00085413"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>.</w:t>
      </w:r>
    </w:p>
    <w:p w14:paraId="2578A087" w14:textId="70C55186" w:rsidR="00B36769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>Обычно возможна вакцинация инактивированными вакцинами. Однако следует отметить, что иммунный ответ и, следовательно, успех вакцинации могут быть нарушены при более высоких дозах кортико</w:t>
      </w:r>
      <w:r w:rsidR="006B6607" w:rsidRPr="00F12F90">
        <w:rPr>
          <w:lang w:val="ru-RU"/>
        </w:rPr>
        <w:t>стеро</w:t>
      </w:r>
      <w:r w:rsidRPr="00F12F90">
        <w:rPr>
          <w:lang w:val="ru-RU"/>
        </w:rPr>
        <w:t>идов.</w:t>
      </w:r>
    </w:p>
    <w:p w14:paraId="1FB3133E" w14:textId="278254BE" w:rsidR="00B36769" w:rsidRPr="00F12F90" w:rsidRDefault="00B36769" w:rsidP="002851D9">
      <w:pPr>
        <w:jc w:val="both"/>
        <w:rPr>
          <w:lang w:val="ru-RU"/>
        </w:rPr>
      </w:pPr>
      <w:r w:rsidRPr="00F12F90">
        <w:rPr>
          <w:lang w:val="ru-RU"/>
        </w:rPr>
        <w:t>В случае высоких доз необходимо соблюдать осторожность, чтобы обеспечить адекватное потребление калия и ограничение натрия, а также контролировать уровень калия в сыворотке крови.</w:t>
      </w:r>
    </w:p>
    <w:p w14:paraId="556EFF04" w14:textId="373398E0" w:rsidR="00A91517" w:rsidRPr="00F12F90" w:rsidRDefault="00A91517" w:rsidP="002851D9">
      <w:pPr>
        <w:jc w:val="both"/>
        <w:rPr>
          <w:lang w:val="ru-RU"/>
        </w:rPr>
      </w:pPr>
      <w:r w:rsidRPr="00F12F90">
        <w:rPr>
          <w:lang w:val="ru-RU"/>
        </w:rPr>
        <w:t>Резкое прекращение приема препарата, продолжающееся более 10 дней, может привести к обострению или рецидиву основного заболевания и возникновению острой надпочечниковой недостаточности/синдрома отмены кортизона; поэтому, если планируется прекращение, дозу следует снижать медленно.</w:t>
      </w:r>
    </w:p>
    <w:p w14:paraId="005223B9" w14:textId="59A377DF" w:rsidR="00A91517" w:rsidRPr="00F12F90" w:rsidRDefault="00A91517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Специфические вирусные заболевания (ветряная оспа, корь) могут особенно тяжело протекать у пациентов, получающих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иды</w:t>
      </w:r>
      <w:proofErr w:type="spellEnd"/>
      <w:r w:rsidRPr="00F12F90">
        <w:rPr>
          <w:lang w:val="ru-RU"/>
        </w:rPr>
        <w:t>. Пациенты с ослабленной иммунной системой (</w:t>
      </w:r>
      <w:proofErr w:type="spellStart"/>
      <w:r w:rsidRPr="00F12F90">
        <w:rPr>
          <w:lang w:val="ru-RU"/>
        </w:rPr>
        <w:t>иммуносупрессией</w:t>
      </w:r>
      <w:proofErr w:type="spellEnd"/>
      <w:r w:rsidRPr="00F12F90">
        <w:rPr>
          <w:lang w:val="ru-RU"/>
        </w:rPr>
        <w:t xml:space="preserve">), которые ранее не болели ветряной оспой или корью, особенно подвержены риску. Если эти пациенты контактировали с больными корью или ветряной оспой во время лечения препаратом </w:t>
      </w:r>
      <w:r w:rsidR="00F12F90" w:rsidRPr="00F12F90">
        <w:rPr>
          <w:rFonts w:eastAsia="Times New Roman"/>
          <w:bCs/>
          <w:caps/>
          <w:lang w:val="ru-RU"/>
        </w:rPr>
        <w:t>[</w:t>
      </w:r>
      <w:r w:rsidR="00F12F90"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="00F12F90"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>, при необходимости следует начать профилактическое лечение.</w:t>
      </w:r>
    </w:p>
    <w:p w14:paraId="76A2D9F1" w14:textId="33F4BAE6" w:rsidR="002851D9" w:rsidRPr="00F12F90" w:rsidRDefault="001C41B0" w:rsidP="002851D9">
      <w:pPr>
        <w:jc w:val="both"/>
        <w:rPr>
          <w:lang w:val="ru-RU"/>
        </w:rPr>
      </w:pPr>
      <w:r w:rsidRPr="00F12F90">
        <w:rPr>
          <w:lang w:val="ru-RU"/>
        </w:rPr>
        <w:t xml:space="preserve">В исследованиях в пострегистрационный период у пациентов с гематологическими злокачественными новообразованиями после применения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отдельно или в комбинации с другими химиотерапевтическими препаратами наблюдался с</w:t>
      </w:r>
      <w:r w:rsidR="00A91517" w:rsidRPr="00F12F90">
        <w:rPr>
          <w:lang w:val="ru-RU"/>
        </w:rPr>
        <w:t xml:space="preserve">индром лизиса опухоли (СЛО). Пациенты с высоким риском СЛО, такие как </w:t>
      </w:r>
      <w:proofErr w:type="gramStart"/>
      <w:r w:rsidR="00A91517" w:rsidRPr="00F12F90">
        <w:rPr>
          <w:lang w:val="ru-RU"/>
        </w:rPr>
        <w:t>пациенты</w:t>
      </w:r>
      <w:proofErr w:type="gramEnd"/>
      <w:r w:rsidR="00A91517" w:rsidRPr="00F12F90">
        <w:rPr>
          <w:lang w:val="ru-RU"/>
        </w:rPr>
        <w:t xml:space="preserve"> с </w:t>
      </w:r>
      <w:r w:rsidR="00A91517" w:rsidRPr="00F12F90">
        <w:rPr>
          <w:lang w:val="ru-RU"/>
        </w:rPr>
        <w:lastRenderedPageBreak/>
        <w:t>высокой скоростью пролиферации, высокой опухолевой массой и высокой чувствительностью к цитотоксическим препаратам, должны находиться под пристальным наблюдением и лечиться с соблюдением соответствующих мер предосторожности.</w:t>
      </w:r>
    </w:p>
    <w:p w14:paraId="7E6B6F8E" w14:textId="51B70E0D" w:rsidR="00B36769" w:rsidRPr="00F12F90" w:rsidRDefault="002851D9" w:rsidP="0044161D">
      <w:pPr>
        <w:pStyle w:val="a4"/>
        <w:spacing w:before="0" w:beforeAutospacing="0" w:after="0" w:afterAutospacing="0"/>
        <w:jc w:val="both"/>
        <w:rPr>
          <w:b/>
          <w:i/>
          <w:lang w:val="ru-RU"/>
        </w:rPr>
      </w:pPr>
      <w:r w:rsidRPr="00F12F90">
        <w:rPr>
          <w:b/>
          <w:i/>
          <w:lang w:val="ru-RU"/>
        </w:rPr>
        <w:t xml:space="preserve">Криз </w:t>
      </w:r>
      <w:proofErr w:type="spellStart"/>
      <w:r w:rsidRPr="00F12F90">
        <w:rPr>
          <w:b/>
          <w:i/>
          <w:lang w:val="ru-RU"/>
        </w:rPr>
        <w:t>феохромоцитомы</w:t>
      </w:r>
      <w:proofErr w:type="spellEnd"/>
    </w:p>
    <w:p w14:paraId="4BC5355E" w14:textId="0D0942B8" w:rsidR="002851D9" w:rsidRPr="00F12F90" w:rsidRDefault="002851D9" w:rsidP="0044161D">
      <w:pPr>
        <w:jc w:val="both"/>
        <w:rPr>
          <w:lang w:val="ru-RU"/>
        </w:rPr>
      </w:pPr>
      <w:r w:rsidRPr="00F12F90">
        <w:rPr>
          <w:lang w:val="ru-RU"/>
        </w:rPr>
        <w:t xml:space="preserve">Сообщалось о кризе </w:t>
      </w:r>
      <w:proofErr w:type="spellStart"/>
      <w:r w:rsidRPr="00F12F90">
        <w:rPr>
          <w:lang w:val="ru-RU"/>
        </w:rPr>
        <w:t>феохромоцитомы</w:t>
      </w:r>
      <w:proofErr w:type="spellEnd"/>
      <w:r w:rsidRPr="00F12F90">
        <w:rPr>
          <w:lang w:val="ru-RU"/>
        </w:rPr>
        <w:t xml:space="preserve">, который может привести к летальному исходу, после применения кортикостероидов. У пациентов с подозреваемой или диагностированной </w:t>
      </w:r>
      <w:proofErr w:type="spellStart"/>
      <w:r w:rsidRPr="00F12F90">
        <w:rPr>
          <w:lang w:val="ru-RU"/>
        </w:rPr>
        <w:t>феохромоцитомой</w:t>
      </w:r>
      <w:proofErr w:type="spellEnd"/>
      <w:r w:rsidRPr="00F12F90">
        <w:rPr>
          <w:lang w:val="ru-RU"/>
        </w:rPr>
        <w:t xml:space="preserve"> кортикостероиды следует использовать только после соответствующей оценки риска и пользы.</w:t>
      </w:r>
    </w:p>
    <w:p w14:paraId="6F7AC0EE" w14:textId="295F9BA7" w:rsidR="002851D9" w:rsidRPr="00F12F90" w:rsidRDefault="002851D9" w:rsidP="0044161D">
      <w:pPr>
        <w:jc w:val="both"/>
        <w:rPr>
          <w:b/>
          <w:i/>
          <w:lang w:val="ru-RU"/>
        </w:rPr>
      </w:pPr>
      <w:r w:rsidRPr="00F12F90">
        <w:rPr>
          <w:b/>
          <w:i/>
          <w:lang w:val="ru-RU"/>
        </w:rPr>
        <w:t>Нарушение зрения</w:t>
      </w:r>
    </w:p>
    <w:p w14:paraId="435EB2B2" w14:textId="3751323C" w:rsidR="00A91517" w:rsidRPr="00F12F90" w:rsidRDefault="002851D9" w:rsidP="0000238C">
      <w:pPr>
        <w:jc w:val="both"/>
        <w:rPr>
          <w:lang w:val="ru-RU"/>
        </w:rPr>
      </w:pPr>
      <w:r w:rsidRPr="00F12F90">
        <w:rPr>
          <w:lang w:val="ru-RU"/>
        </w:rPr>
        <w:t xml:space="preserve">Нарушения зрения могут возникать при системном и местном применении кортикостероидов. Если у пациента проявляются такие симптомы, как нечеткость зрения или другие нарушения зрения, следует рассмотреть вопрос о направлении пациента к офтальмологу для оценки возможных причин; к ним относятся, помимо прочего, катаракта, глаукома или редкие заболевания, такие как центральная серозная </w:t>
      </w:r>
      <w:proofErr w:type="spellStart"/>
      <w:r w:rsidRPr="00F12F90">
        <w:rPr>
          <w:lang w:val="ru-RU"/>
        </w:rPr>
        <w:t>хориоретинопатия</w:t>
      </w:r>
      <w:proofErr w:type="spellEnd"/>
      <w:r w:rsidRPr="00F12F90">
        <w:rPr>
          <w:lang w:val="ru-RU"/>
        </w:rPr>
        <w:t xml:space="preserve"> (CSC), о которой сообщалось после применения системных или местных кортикостероидов.</w:t>
      </w:r>
    </w:p>
    <w:p w14:paraId="733D755E" w14:textId="764A8069" w:rsidR="00A91517" w:rsidRPr="00F12F90" w:rsidRDefault="00B03E11" w:rsidP="0044161D">
      <w:pPr>
        <w:jc w:val="both"/>
        <w:rPr>
          <w:lang w:val="ru-RU"/>
        </w:rPr>
      </w:pPr>
      <w:r w:rsidRPr="00F12F90">
        <w:rPr>
          <w:lang w:val="ru-RU"/>
        </w:rPr>
        <w:t xml:space="preserve">В случае внутривенного введения инъекцию следует проводить медленно (в течение 2-3 минут), так как при слишком быстром введении возможны кратковременные </w:t>
      </w:r>
      <w:r w:rsidR="00E245A3" w:rsidRPr="00F12F90">
        <w:rPr>
          <w:lang w:val="ru-RU"/>
        </w:rPr>
        <w:t>незначительные нежелательные реакции</w:t>
      </w:r>
      <w:r w:rsidRPr="00F12F90">
        <w:rPr>
          <w:lang w:val="ru-RU"/>
        </w:rPr>
        <w:t xml:space="preserve"> продолжительностью до 3 минут в виде неприятного покалывания или парестезии. </w:t>
      </w:r>
    </w:p>
    <w:p w14:paraId="1E7561D3" w14:textId="77777777" w:rsidR="009529AD" w:rsidRPr="00F12F90" w:rsidRDefault="00004EE6" w:rsidP="0044161D">
      <w:pPr>
        <w:jc w:val="both"/>
        <w:rPr>
          <w:lang w:val="ru-RU"/>
        </w:rPr>
      </w:pPr>
      <w:r w:rsidRPr="00F12F90">
        <w:rPr>
          <w:rFonts w:eastAsia="Times New Roman"/>
          <w:bCs/>
          <w:caps/>
          <w:lang w:val="ru-RU"/>
        </w:rPr>
        <w:t>[</w:t>
      </w:r>
      <w:r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Pr="00F12F90">
        <w:rPr>
          <w:rFonts w:eastAsia="Times New Roman"/>
          <w:bCs/>
          <w:caps/>
          <w:lang w:val="ru-RU"/>
        </w:rPr>
        <w:t>]</w:t>
      </w:r>
      <w:r w:rsidR="00B03E11" w:rsidRPr="00F12F90">
        <w:rPr>
          <w:lang w:val="ru-RU"/>
        </w:rPr>
        <w:t xml:space="preserve"> – препарат для кратковременного применения. </w:t>
      </w:r>
      <w:r w:rsidR="009529AD" w:rsidRPr="00F12F90">
        <w:rPr>
          <w:lang w:val="ru-RU"/>
        </w:rPr>
        <w:t xml:space="preserve">При неправильном применении в течение длительного периода следует учитывать дополнительные предупреждения и меры предосторожности, описанных для долгосрочного применения лекарственных средств, содержащих </w:t>
      </w:r>
      <w:proofErr w:type="spellStart"/>
      <w:r w:rsidR="009529AD" w:rsidRPr="00F12F90">
        <w:rPr>
          <w:lang w:val="ru-RU"/>
        </w:rPr>
        <w:t>глюкокортикостероиды</w:t>
      </w:r>
      <w:proofErr w:type="spellEnd"/>
      <w:r w:rsidR="009529AD" w:rsidRPr="00F12F90">
        <w:rPr>
          <w:lang w:val="ru-RU"/>
        </w:rPr>
        <w:t>.</w:t>
      </w:r>
    </w:p>
    <w:p w14:paraId="68FF5430" w14:textId="77777777" w:rsidR="009529AD" w:rsidRPr="00F12F90" w:rsidRDefault="009529AD" w:rsidP="0000238C">
      <w:pPr>
        <w:jc w:val="both"/>
        <w:rPr>
          <w:lang w:val="ru-RU"/>
        </w:rPr>
      </w:pPr>
      <w:r w:rsidRPr="00F12F90">
        <w:rPr>
          <w:lang w:val="ru-RU"/>
        </w:rPr>
        <w:t xml:space="preserve">Следует учитывать развитие потенциальных системных побочных эффектов, а также взаимодействий после местного применения препарата.  </w:t>
      </w:r>
    </w:p>
    <w:p w14:paraId="628F17DE" w14:textId="09553E2F" w:rsidR="00B03E11" w:rsidRPr="00F12F90" w:rsidRDefault="00B03E11" w:rsidP="0000238C">
      <w:pPr>
        <w:jc w:val="both"/>
        <w:rPr>
          <w:rStyle w:val="q4iawc"/>
          <w:lang w:val="ru-RU"/>
        </w:rPr>
      </w:pPr>
      <w:r w:rsidRPr="00F12F90">
        <w:rPr>
          <w:lang w:val="ru-RU"/>
        </w:rPr>
        <w:t xml:space="preserve">Внутрисуставное введение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идов</w:t>
      </w:r>
      <w:proofErr w:type="spellEnd"/>
      <w:r w:rsidRPr="00F12F90">
        <w:rPr>
          <w:lang w:val="ru-RU"/>
        </w:rPr>
        <w:t xml:space="preserve"> увеличивает риск </w:t>
      </w:r>
      <w:r w:rsidR="009529AD" w:rsidRPr="00F12F90">
        <w:rPr>
          <w:lang w:val="ru-RU"/>
        </w:rPr>
        <w:t xml:space="preserve">развития </w:t>
      </w:r>
      <w:r w:rsidRPr="00F12F90">
        <w:rPr>
          <w:lang w:val="ru-RU"/>
        </w:rPr>
        <w:t xml:space="preserve">инфекций суставов. </w:t>
      </w:r>
      <w:r w:rsidR="009529AD" w:rsidRPr="00F12F90">
        <w:rPr>
          <w:lang w:val="ru-RU"/>
        </w:rPr>
        <w:t xml:space="preserve">Длительное введение и повторные инъекции </w:t>
      </w:r>
      <w:proofErr w:type="spellStart"/>
      <w:r w:rsidR="009529AD" w:rsidRPr="00F12F90">
        <w:rPr>
          <w:lang w:val="ru-RU"/>
        </w:rPr>
        <w:t>глюкокортикостероидов</w:t>
      </w:r>
      <w:proofErr w:type="spellEnd"/>
      <w:r w:rsidR="009529AD" w:rsidRPr="00F12F90">
        <w:rPr>
          <w:lang w:val="ru-RU"/>
        </w:rPr>
        <w:t xml:space="preserve"> в крупные суставы могут усугубить изменения суставов, вызванные нагрузкой. Это, вероятно, связано с увеличением нагрузки на пораженные суставы после исчезновения боли или других симптомов заболевания.</w:t>
      </w:r>
    </w:p>
    <w:p w14:paraId="18889D19" w14:textId="77777777" w:rsidR="00B03E11" w:rsidRPr="00F12F90" w:rsidRDefault="00B03E11" w:rsidP="0044161D">
      <w:pPr>
        <w:jc w:val="both"/>
        <w:rPr>
          <w:i/>
          <w:lang w:val="ru-RU"/>
        </w:rPr>
      </w:pPr>
      <w:r w:rsidRPr="00F12F90">
        <w:rPr>
          <w:i/>
          <w:lang w:val="ru-RU"/>
        </w:rPr>
        <w:t>Местное применение в офтальмологии</w:t>
      </w:r>
    </w:p>
    <w:p w14:paraId="224FE0C8" w14:textId="167E8A56" w:rsidR="00B03E11" w:rsidRPr="00F12F90" w:rsidRDefault="009529AD" w:rsidP="0000238C">
      <w:pPr>
        <w:jc w:val="both"/>
        <w:rPr>
          <w:lang w:val="ru-RU"/>
        </w:rPr>
      </w:pPr>
      <w:r w:rsidRPr="00F12F90">
        <w:rPr>
          <w:lang w:val="ru-RU"/>
        </w:rPr>
        <w:t xml:space="preserve">При системной абсорбции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при применении в офтальмологии в ходе интенсивного или длительного лечения у предрасположенных пациентов, включая детей и пациентов, получаю</w:t>
      </w:r>
      <w:r w:rsidR="00DF090F">
        <w:rPr>
          <w:lang w:val="ru-RU"/>
        </w:rPr>
        <w:t>щ</w:t>
      </w:r>
      <w:r w:rsidRPr="00F12F90">
        <w:rPr>
          <w:lang w:val="ru-RU"/>
        </w:rPr>
        <w:t xml:space="preserve">их ингибиторы CYP3A4 (включая </w:t>
      </w:r>
      <w:proofErr w:type="spellStart"/>
      <w:r w:rsidRPr="00F12F90">
        <w:rPr>
          <w:lang w:val="ru-RU"/>
        </w:rPr>
        <w:t>ритонавир</w:t>
      </w:r>
      <w:proofErr w:type="spellEnd"/>
      <w:r w:rsidRPr="00F12F90">
        <w:rPr>
          <w:lang w:val="ru-RU"/>
        </w:rPr>
        <w:t xml:space="preserve"> и </w:t>
      </w:r>
      <w:proofErr w:type="spellStart"/>
      <w:r w:rsidRPr="00F12F90">
        <w:rPr>
          <w:lang w:val="ru-RU"/>
        </w:rPr>
        <w:t>кобицистат</w:t>
      </w:r>
      <w:proofErr w:type="spellEnd"/>
      <w:r w:rsidRPr="00F12F90">
        <w:rPr>
          <w:lang w:val="ru-RU"/>
        </w:rPr>
        <w:t xml:space="preserve">), могут возникать синдром </w:t>
      </w:r>
      <w:proofErr w:type="spellStart"/>
      <w:r w:rsidRPr="00F12F90">
        <w:rPr>
          <w:lang w:val="ru-RU"/>
        </w:rPr>
        <w:t>Кушинга</w:t>
      </w:r>
      <w:proofErr w:type="spellEnd"/>
      <w:r w:rsidRPr="00F12F90">
        <w:rPr>
          <w:lang w:val="ru-RU"/>
        </w:rPr>
        <w:t xml:space="preserve"> и/или угнетение функции надпочечников. </w:t>
      </w:r>
      <w:r w:rsidR="00B03E11" w:rsidRPr="00F12F90">
        <w:rPr>
          <w:lang w:val="ru-RU"/>
        </w:rPr>
        <w:t>В этих случаях лечение</w:t>
      </w:r>
      <w:r w:rsidR="0000238C" w:rsidRPr="00F12F90">
        <w:rPr>
          <w:lang w:val="ru-RU"/>
        </w:rPr>
        <w:t xml:space="preserve"> следует прекращать постепенно.</w:t>
      </w:r>
    </w:p>
    <w:p w14:paraId="0EB0F8F5" w14:textId="4E2F5194" w:rsidR="007426CC" w:rsidRPr="00F12F90" w:rsidRDefault="007426CC" w:rsidP="0044161D">
      <w:pPr>
        <w:jc w:val="both"/>
        <w:rPr>
          <w:b/>
          <w:i/>
          <w:lang w:val="ru-RU"/>
        </w:rPr>
      </w:pPr>
      <w:r w:rsidRPr="00F12F90">
        <w:rPr>
          <w:b/>
          <w:i/>
          <w:lang w:val="ru-RU"/>
        </w:rPr>
        <w:t>Д</w:t>
      </w:r>
      <w:r w:rsidR="00B03E11" w:rsidRPr="00F12F90">
        <w:rPr>
          <w:b/>
          <w:i/>
          <w:lang w:val="ru-RU"/>
        </w:rPr>
        <w:t xml:space="preserve">ети и </w:t>
      </w:r>
      <w:r w:rsidRPr="00F12F90">
        <w:rPr>
          <w:b/>
          <w:i/>
          <w:lang w:val="ru-RU"/>
        </w:rPr>
        <w:t>подростки</w:t>
      </w:r>
      <w:r w:rsidR="00B03E11" w:rsidRPr="00F12F90">
        <w:rPr>
          <w:b/>
          <w:i/>
          <w:lang w:val="ru-RU"/>
        </w:rPr>
        <w:t xml:space="preserve"> </w:t>
      </w:r>
    </w:p>
    <w:p w14:paraId="0BBC64A2" w14:textId="5C5DABAD" w:rsidR="007426CC" w:rsidRPr="00F12F90" w:rsidRDefault="007426CC" w:rsidP="0044161D">
      <w:pPr>
        <w:jc w:val="both"/>
        <w:rPr>
          <w:i/>
          <w:lang w:val="ru-RU"/>
        </w:rPr>
      </w:pPr>
      <w:r w:rsidRPr="00F12F90">
        <w:rPr>
          <w:i/>
          <w:lang w:val="ru-RU"/>
        </w:rPr>
        <w:t>Недоношенные дети:</w:t>
      </w:r>
    </w:p>
    <w:p w14:paraId="4C6E57E8" w14:textId="77777777" w:rsidR="00715E39" w:rsidRPr="00F12F90" w:rsidRDefault="00715E39" w:rsidP="00715E39">
      <w:pPr>
        <w:jc w:val="both"/>
        <w:rPr>
          <w:lang w:val="ru-RU"/>
        </w:rPr>
      </w:pPr>
      <w:r w:rsidRPr="00F12F90">
        <w:rPr>
          <w:lang w:val="ru-RU"/>
        </w:rPr>
        <w:t>Имеющиеся данные свидетельствуют о длительных нежелательных явлениях со стороны нервной системы после раннего лечения (&lt; 96 часов после рождения) недоношенных детей с хроническими заболеваниями легких в стартовых дозах 0,25 мг/кг два раза в день.</w:t>
      </w:r>
    </w:p>
    <w:p w14:paraId="72248419" w14:textId="326A63BA" w:rsidR="00715E39" w:rsidRPr="00F12F90" w:rsidRDefault="00715E39" w:rsidP="00715E39">
      <w:pPr>
        <w:jc w:val="both"/>
        <w:rPr>
          <w:lang w:val="ru-RU"/>
        </w:rPr>
      </w:pPr>
      <w:r w:rsidRPr="00F12F90">
        <w:rPr>
          <w:lang w:val="ru-RU"/>
        </w:rPr>
        <w:t xml:space="preserve">При применении </w:t>
      </w:r>
      <w:r w:rsidRPr="00F12F90">
        <w:rPr>
          <w:rFonts w:eastAsia="Times New Roman"/>
          <w:bCs/>
          <w:caps/>
          <w:lang w:val="ru-RU"/>
        </w:rPr>
        <w:t>[</w:t>
      </w:r>
      <w:r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 xml:space="preserve"> у детей в период роста следует тщательно взвесить соотношение пользы и риска данного лечения.</w:t>
      </w:r>
    </w:p>
    <w:p w14:paraId="58EEAE4F" w14:textId="7DECAF89" w:rsidR="0044161D" w:rsidRPr="00F12F90" w:rsidRDefault="0044161D" w:rsidP="00715E39">
      <w:pPr>
        <w:jc w:val="both"/>
        <w:rPr>
          <w:b/>
          <w:i/>
          <w:lang w:val="ru-RU"/>
        </w:rPr>
      </w:pPr>
      <w:r w:rsidRPr="00F12F90">
        <w:rPr>
          <w:b/>
          <w:i/>
          <w:lang w:val="ru-RU"/>
        </w:rPr>
        <w:t xml:space="preserve">Гипертрофическая </w:t>
      </w:r>
      <w:proofErr w:type="spellStart"/>
      <w:r w:rsidRPr="00F12F90">
        <w:rPr>
          <w:b/>
          <w:i/>
          <w:lang w:val="ru-RU"/>
        </w:rPr>
        <w:t>кардиомиопатия</w:t>
      </w:r>
      <w:proofErr w:type="spellEnd"/>
      <w:r w:rsidRPr="00F12F90">
        <w:rPr>
          <w:b/>
          <w:i/>
          <w:lang w:val="ru-RU"/>
        </w:rPr>
        <w:t xml:space="preserve"> </w:t>
      </w:r>
    </w:p>
    <w:p w14:paraId="53969FE4" w14:textId="3A6D4564" w:rsidR="00540EDC" w:rsidRPr="00F12F90" w:rsidRDefault="0044161D" w:rsidP="00540EDC">
      <w:pPr>
        <w:jc w:val="both"/>
        <w:rPr>
          <w:lang w:val="ru-RU"/>
        </w:rPr>
      </w:pPr>
      <w:r w:rsidRPr="00F12F90">
        <w:rPr>
          <w:lang w:val="ru-RU"/>
        </w:rPr>
        <w:t xml:space="preserve">Сообщалось о </w:t>
      </w:r>
      <w:proofErr w:type="gramStart"/>
      <w:r w:rsidRPr="00F12F90">
        <w:rPr>
          <w:lang w:val="ru-RU"/>
        </w:rPr>
        <w:t>гипертрофической</w:t>
      </w:r>
      <w:proofErr w:type="gram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кардиомиопатии</w:t>
      </w:r>
      <w:proofErr w:type="spellEnd"/>
      <w:r w:rsidRPr="00F12F90">
        <w:rPr>
          <w:lang w:val="ru-RU"/>
        </w:rPr>
        <w:t xml:space="preserve"> после системного применения кортикостероидов, включая </w:t>
      </w:r>
      <w:proofErr w:type="spellStart"/>
      <w:r w:rsidRPr="00F12F90">
        <w:rPr>
          <w:lang w:val="ru-RU"/>
        </w:rPr>
        <w:t>дексаметазон</w:t>
      </w:r>
      <w:proofErr w:type="spellEnd"/>
      <w:r w:rsidRPr="00F12F90">
        <w:rPr>
          <w:lang w:val="ru-RU"/>
        </w:rPr>
        <w:t xml:space="preserve">, у недоношенных детей. В большинстве зарегистрированных случаев это было обратимым после прекращения лечения. </w:t>
      </w:r>
      <w:r w:rsidRPr="00F12F90">
        <w:rPr>
          <w:lang w:val="ru-RU"/>
        </w:rPr>
        <w:lastRenderedPageBreak/>
        <w:t xml:space="preserve">Диагностическую оценку и мониторинг сердечной функции и структуры следует проводить у недоношенных детей, получающих системную терапию </w:t>
      </w:r>
      <w:proofErr w:type="spellStart"/>
      <w:r w:rsidRPr="00F12F90">
        <w:rPr>
          <w:lang w:val="ru-RU"/>
        </w:rPr>
        <w:t>дексаметазоном</w:t>
      </w:r>
      <w:proofErr w:type="spellEnd"/>
      <w:r w:rsidRPr="00F12F90">
        <w:rPr>
          <w:lang w:val="ru-RU"/>
        </w:rPr>
        <w:t xml:space="preserve"> (</w:t>
      </w:r>
      <w:r w:rsidR="00540EDC" w:rsidRPr="00F12F90">
        <w:rPr>
          <w:lang w:val="ru-RU"/>
        </w:rPr>
        <w:t>см.</w:t>
      </w:r>
      <w:r w:rsidR="00DF090F">
        <w:rPr>
          <w:lang w:val="ru-RU"/>
        </w:rPr>
        <w:t xml:space="preserve"> </w:t>
      </w:r>
      <w:r w:rsidRPr="00F12F90">
        <w:rPr>
          <w:lang w:val="ru-RU"/>
        </w:rPr>
        <w:t>раздел 4.8</w:t>
      </w:r>
      <w:r w:rsidR="00D8156C" w:rsidRPr="00F12F90">
        <w:rPr>
          <w:lang w:val="ru-RU"/>
        </w:rPr>
        <w:t>).</w:t>
      </w:r>
    </w:p>
    <w:p w14:paraId="25056920" w14:textId="77777777" w:rsidR="00540EDC" w:rsidRPr="00F12F90" w:rsidRDefault="00540EDC" w:rsidP="00540EDC">
      <w:pPr>
        <w:jc w:val="both"/>
        <w:rPr>
          <w:b/>
          <w:i/>
          <w:lang w:val="ru-RU"/>
        </w:rPr>
      </w:pPr>
      <w:r w:rsidRPr="00F12F90">
        <w:rPr>
          <w:b/>
          <w:i/>
          <w:lang w:val="ru-RU"/>
        </w:rPr>
        <w:t xml:space="preserve">Пожилые пациенты </w:t>
      </w:r>
    </w:p>
    <w:p w14:paraId="28D52D6E" w14:textId="22DA4A5B" w:rsidR="00715E39" w:rsidRPr="00F12F90" w:rsidRDefault="00715E39" w:rsidP="00715E39">
      <w:pPr>
        <w:jc w:val="both"/>
        <w:rPr>
          <w:lang w:val="ru-RU"/>
        </w:rPr>
      </w:pPr>
      <w:r w:rsidRPr="00F12F90">
        <w:rPr>
          <w:lang w:val="ru-RU"/>
        </w:rPr>
        <w:t xml:space="preserve">Учитывая, что пожилые пациенты подвержены повышенному риску развития остеопороза, при применении </w:t>
      </w:r>
      <w:r w:rsidRPr="00F12F90">
        <w:rPr>
          <w:rFonts w:eastAsia="Times New Roman"/>
          <w:bCs/>
          <w:caps/>
          <w:lang w:val="ru-RU"/>
        </w:rPr>
        <w:t>[</w:t>
      </w:r>
      <w:r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 xml:space="preserve"> следует тщательно взвесить соотношение пользы и риска данного лечения. </w:t>
      </w:r>
    </w:p>
    <w:p w14:paraId="52FC8C4D" w14:textId="00944DBF" w:rsidR="00715E39" w:rsidRPr="00F12F90" w:rsidRDefault="00715E39" w:rsidP="00715E39">
      <w:pPr>
        <w:jc w:val="both"/>
        <w:rPr>
          <w:lang w:val="ru-RU"/>
        </w:rPr>
      </w:pPr>
      <w:r w:rsidRPr="00F12F90">
        <w:rPr>
          <w:lang w:val="ru-RU"/>
        </w:rPr>
        <w:t xml:space="preserve">Применение </w:t>
      </w:r>
      <w:r w:rsidRPr="00F12F90">
        <w:rPr>
          <w:rFonts w:eastAsia="Times New Roman"/>
          <w:bCs/>
          <w:caps/>
          <w:lang w:val="ru-RU"/>
        </w:rPr>
        <w:t>[</w:t>
      </w:r>
      <w:r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 xml:space="preserve"> может привести к положительным результатам при проведении </w:t>
      </w:r>
      <w:proofErr w:type="gramStart"/>
      <w:r w:rsidRPr="00F12F90">
        <w:rPr>
          <w:lang w:val="ru-RU"/>
        </w:rPr>
        <w:t>допинг-контроля</w:t>
      </w:r>
      <w:proofErr w:type="gramEnd"/>
      <w:r w:rsidRPr="00F12F90">
        <w:rPr>
          <w:lang w:val="ru-RU"/>
        </w:rPr>
        <w:t>.</w:t>
      </w:r>
    </w:p>
    <w:p w14:paraId="08ADB0DF" w14:textId="77777777" w:rsidR="00AC4FF0" w:rsidRPr="00F12F90" w:rsidRDefault="00AC4FF0" w:rsidP="00AC4FF0">
      <w:pPr>
        <w:jc w:val="both"/>
        <w:rPr>
          <w:b/>
          <w:i/>
          <w:lang w:val="ru-RU"/>
        </w:rPr>
      </w:pPr>
      <w:r w:rsidRPr="00F12F90">
        <w:rPr>
          <w:b/>
          <w:i/>
          <w:lang w:val="ru-RU"/>
        </w:rPr>
        <w:t>Вспомогательные вещества</w:t>
      </w:r>
    </w:p>
    <w:p w14:paraId="2D61B191" w14:textId="73BA1B33" w:rsidR="00AC4FF0" w:rsidRPr="00F12F90" w:rsidRDefault="005D0271" w:rsidP="00AC4FF0">
      <w:pPr>
        <w:jc w:val="both"/>
        <w:rPr>
          <w:lang w:val="ru-RU"/>
        </w:rPr>
      </w:pPr>
      <w:r w:rsidRPr="00F12F90">
        <w:rPr>
          <w:lang w:val="ru-RU"/>
        </w:rPr>
        <w:t>Лекарственный препарат</w:t>
      </w:r>
      <w:r w:rsidR="00D8156C" w:rsidRPr="00F12F90">
        <w:rPr>
          <w:lang w:val="ru-RU"/>
        </w:rPr>
        <w:t xml:space="preserve"> </w:t>
      </w:r>
      <w:r w:rsidR="00AC4FF0" w:rsidRPr="00F12F90">
        <w:rPr>
          <w:lang w:val="ru-RU"/>
        </w:rPr>
        <w:t xml:space="preserve">содержит 16.92 </w:t>
      </w:r>
      <w:proofErr w:type="spellStart"/>
      <w:r w:rsidR="00AC4FF0" w:rsidRPr="00F12F90">
        <w:rPr>
          <w:lang w:val="ru-RU"/>
        </w:rPr>
        <w:t>мкмоль</w:t>
      </w:r>
      <w:proofErr w:type="spellEnd"/>
      <w:r w:rsidR="00AC4FF0" w:rsidRPr="00F12F90">
        <w:rPr>
          <w:lang w:val="ru-RU"/>
        </w:rPr>
        <w:t xml:space="preserve"> (0.393 мг) натрия в 1 мл раст</w:t>
      </w:r>
      <w:r w:rsidR="00D8156C" w:rsidRPr="00F12F90">
        <w:rPr>
          <w:lang w:val="ru-RU"/>
        </w:rPr>
        <w:t>вора, то есть практически не сод</w:t>
      </w:r>
      <w:r w:rsidR="00AC4FF0" w:rsidRPr="00F12F90">
        <w:rPr>
          <w:lang w:val="ru-RU"/>
        </w:rPr>
        <w:t>ержит натрий.</w:t>
      </w:r>
    </w:p>
    <w:p w14:paraId="6ACCDF71" w14:textId="77777777" w:rsidR="00F17729" w:rsidRPr="00F12F90" w:rsidRDefault="00F17729" w:rsidP="004F4482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0EBF7010" w14:textId="528BB7BE" w:rsidR="006232D6" w:rsidRPr="00F12F90" w:rsidRDefault="006232D6" w:rsidP="004F4482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4.5. Взаимодействие с другими лекарственными препарата</w:t>
      </w:r>
      <w:r w:rsidR="001067DB" w:rsidRPr="00F12F90">
        <w:rPr>
          <w:b/>
          <w:lang w:val="ru-RU"/>
        </w:rPr>
        <w:t>ми и другие виды взаимодействия</w:t>
      </w:r>
    </w:p>
    <w:p w14:paraId="4D71A376" w14:textId="0DAC2E9A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Эстрогены (например, ингибиторы овуляции): период полувыведения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идов</w:t>
      </w:r>
      <w:proofErr w:type="spellEnd"/>
      <w:r w:rsidRPr="00F12F90">
        <w:rPr>
          <w:lang w:val="ru-RU"/>
        </w:rPr>
        <w:t xml:space="preserve"> может быть продлен. Таким образом, терапевтический эффект может быть усилен.</w:t>
      </w:r>
    </w:p>
    <w:p w14:paraId="1B98CAF3" w14:textId="0397A7AE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Препараты, индуцирующие CYP3A4, такие как </w:t>
      </w:r>
      <w:proofErr w:type="spellStart"/>
      <w:r w:rsidRPr="00F12F90">
        <w:rPr>
          <w:lang w:val="ru-RU"/>
        </w:rPr>
        <w:t>рифампицин</w:t>
      </w:r>
      <w:proofErr w:type="spell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фенитоин</w:t>
      </w:r>
      <w:proofErr w:type="spell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карбамазепин</w:t>
      </w:r>
      <w:proofErr w:type="spellEnd"/>
      <w:r w:rsidRPr="00F12F90">
        <w:rPr>
          <w:lang w:val="ru-RU"/>
        </w:rPr>
        <w:t xml:space="preserve">, барбитураты и </w:t>
      </w:r>
      <w:proofErr w:type="spellStart"/>
      <w:r w:rsidRPr="00F12F90">
        <w:rPr>
          <w:lang w:val="ru-RU"/>
        </w:rPr>
        <w:t>примидон</w:t>
      </w:r>
      <w:proofErr w:type="spellEnd"/>
      <w:r w:rsidRPr="00F12F90">
        <w:rPr>
          <w:lang w:val="ru-RU"/>
        </w:rPr>
        <w:t xml:space="preserve">: эффекты </w:t>
      </w:r>
      <w:proofErr w:type="spellStart"/>
      <w:r w:rsidR="00715E39" w:rsidRPr="00F12F90">
        <w:rPr>
          <w:lang w:val="ru-RU"/>
        </w:rPr>
        <w:t>глюкокортикостероидов</w:t>
      </w:r>
      <w:proofErr w:type="spellEnd"/>
      <w:r w:rsidRPr="00F12F90">
        <w:rPr>
          <w:lang w:val="ru-RU"/>
        </w:rPr>
        <w:t xml:space="preserve"> могут быть снижены.</w:t>
      </w:r>
    </w:p>
    <w:p w14:paraId="4FAE8107" w14:textId="33578EA4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Ингибиторы CYP3A4 (включая </w:t>
      </w:r>
      <w:proofErr w:type="spellStart"/>
      <w:r w:rsidRPr="00F12F90">
        <w:rPr>
          <w:lang w:val="ru-RU"/>
        </w:rPr>
        <w:t>кетоконазол</w:t>
      </w:r>
      <w:proofErr w:type="spell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итраконазол</w:t>
      </w:r>
      <w:proofErr w:type="spell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ритонавир</w:t>
      </w:r>
      <w:proofErr w:type="spellEnd"/>
      <w:r w:rsidRPr="00F12F90">
        <w:rPr>
          <w:lang w:val="ru-RU"/>
        </w:rPr>
        <w:t xml:space="preserve"> и </w:t>
      </w:r>
      <w:proofErr w:type="spellStart"/>
      <w:r w:rsidRPr="00F12F90">
        <w:rPr>
          <w:lang w:val="ru-RU"/>
        </w:rPr>
        <w:t>кобицистат</w:t>
      </w:r>
      <w:proofErr w:type="spellEnd"/>
      <w:r w:rsidRPr="00F12F90">
        <w:rPr>
          <w:lang w:val="ru-RU"/>
        </w:rPr>
        <w:t xml:space="preserve">): могут снижать клиренс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, что может привести к усилению эффектов и угнетению надпочечников/синдрому </w:t>
      </w:r>
      <w:proofErr w:type="spellStart"/>
      <w:r w:rsidRPr="00F12F90">
        <w:rPr>
          <w:lang w:val="ru-RU"/>
        </w:rPr>
        <w:t>Кушинга</w:t>
      </w:r>
      <w:proofErr w:type="spellEnd"/>
      <w:r w:rsidRPr="00F12F90">
        <w:rPr>
          <w:lang w:val="ru-RU"/>
        </w:rPr>
        <w:t xml:space="preserve">. Комбинации следует избегать, если польза не перевешивает повышенный риск системных </w:t>
      </w:r>
      <w:r w:rsidR="00E245A3" w:rsidRPr="00F12F90">
        <w:rPr>
          <w:lang w:val="ru-RU"/>
        </w:rPr>
        <w:t>нежелательных реакций</w:t>
      </w:r>
      <w:r w:rsidRPr="00F12F90">
        <w:rPr>
          <w:lang w:val="ru-RU"/>
        </w:rPr>
        <w:t xml:space="preserve"> кортикостероидов. В этом случае пациенты должны находиться под наблюдением на предмет системных эффектов кортикостероидов.</w:t>
      </w:r>
    </w:p>
    <w:p w14:paraId="7498BE95" w14:textId="2184939A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Эфедрин: может ускоряться метаболизм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идов</w:t>
      </w:r>
      <w:proofErr w:type="spellEnd"/>
      <w:r w:rsidRPr="00F12F90">
        <w:rPr>
          <w:lang w:val="ru-RU"/>
        </w:rPr>
        <w:t>, что снижает их эффективность.</w:t>
      </w:r>
    </w:p>
    <w:p w14:paraId="22D4608D" w14:textId="5DC1A3AB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>Ингибиторы АПФ: повышенный риск изменения состава крови.</w:t>
      </w:r>
    </w:p>
    <w:p w14:paraId="44854F47" w14:textId="4B4E9982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>Сердечные гликозиды: действие гликозидов может усиливаться при дефиците калия.</w:t>
      </w:r>
    </w:p>
    <w:p w14:paraId="493F3BDF" w14:textId="5DA3BF4A" w:rsidR="00856E86" w:rsidRPr="00F12F90" w:rsidRDefault="00856E86" w:rsidP="004F4482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Салуретики</w:t>
      </w:r>
      <w:proofErr w:type="spellEnd"/>
      <w:r w:rsidRPr="00F12F90">
        <w:rPr>
          <w:lang w:val="ru-RU"/>
        </w:rPr>
        <w:t xml:space="preserve">/слабительные </w:t>
      </w:r>
      <w:r w:rsidR="005D0271" w:rsidRPr="00F12F90">
        <w:rPr>
          <w:lang w:val="ru-RU"/>
        </w:rPr>
        <w:t>препараты</w:t>
      </w:r>
      <w:r w:rsidRPr="00F12F90">
        <w:rPr>
          <w:lang w:val="ru-RU"/>
        </w:rPr>
        <w:t>: может увеличиваться выведение калия.</w:t>
      </w:r>
    </w:p>
    <w:p w14:paraId="19E8B521" w14:textId="393436A9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Противодиабетические </w:t>
      </w:r>
      <w:r w:rsidR="005D0271" w:rsidRPr="00F12F90">
        <w:rPr>
          <w:lang w:val="ru-RU"/>
        </w:rPr>
        <w:t>препараты</w:t>
      </w:r>
      <w:r w:rsidRPr="00F12F90">
        <w:rPr>
          <w:lang w:val="ru-RU"/>
        </w:rPr>
        <w:t>: эффект снижения уровня сахара в крови может быть снижен.</w:t>
      </w:r>
    </w:p>
    <w:p w14:paraId="3EA4BD2E" w14:textId="77CC79F2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Производные кумарина: </w:t>
      </w:r>
      <w:proofErr w:type="spellStart"/>
      <w:r w:rsidRPr="00F12F90">
        <w:rPr>
          <w:lang w:val="ru-RU"/>
        </w:rPr>
        <w:t>антикоагулянтный</w:t>
      </w:r>
      <w:proofErr w:type="spellEnd"/>
      <w:r w:rsidRPr="00F12F90">
        <w:rPr>
          <w:lang w:val="ru-RU"/>
        </w:rPr>
        <w:t xml:space="preserve"> эффект может быть снижен или усилен. При одновременном применении может потребоваться коррекция дозы антикоагулянта.</w:t>
      </w:r>
    </w:p>
    <w:p w14:paraId="50FA624E" w14:textId="6C086B2A" w:rsidR="00856E86" w:rsidRPr="00F12F90" w:rsidRDefault="00856E86" w:rsidP="004F4482">
      <w:pPr>
        <w:jc w:val="both"/>
        <w:rPr>
          <w:lang w:val="ru-RU"/>
        </w:rPr>
      </w:pPr>
      <w:r w:rsidRPr="00F12F90">
        <w:rPr>
          <w:lang w:val="ru-RU"/>
        </w:rPr>
        <w:t>Нестероидные противовоспалительные препараты</w:t>
      </w:r>
      <w:r w:rsidR="00715E39" w:rsidRPr="00F12F90">
        <w:rPr>
          <w:lang w:val="ru-RU"/>
        </w:rPr>
        <w:t xml:space="preserve"> </w:t>
      </w:r>
      <w:r w:rsidR="00D8156C" w:rsidRPr="00F12F90">
        <w:rPr>
          <w:lang w:val="ru-RU"/>
        </w:rPr>
        <w:t>(НПВП)</w:t>
      </w:r>
      <w:r w:rsidRPr="00F12F90">
        <w:rPr>
          <w:lang w:val="ru-RU"/>
        </w:rPr>
        <w:t>/</w:t>
      </w:r>
      <w:r w:rsidR="00687AE3" w:rsidRPr="00F12F90">
        <w:rPr>
          <w:lang w:val="ru-RU"/>
        </w:rPr>
        <w:t xml:space="preserve"> </w:t>
      </w:r>
      <w:r w:rsidRPr="00F12F90">
        <w:rPr>
          <w:lang w:val="ru-RU"/>
        </w:rPr>
        <w:t xml:space="preserve">противоревматические препараты, салицилаты и </w:t>
      </w:r>
      <w:proofErr w:type="spellStart"/>
      <w:r w:rsidRPr="00F12F90">
        <w:rPr>
          <w:lang w:val="ru-RU"/>
        </w:rPr>
        <w:t>индометацин</w:t>
      </w:r>
      <w:proofErr w:type="spellEnd"/>
      <w:r w:rsidRPr="00F12F90">
        <w:rPr>
          <w:lang w:val="ru-RU"/>
        </w:rPr>
        <w:t>: повышается риск желудочно-кишечных язв и кровотечений</w:t>
      </w:r>
      <w:r w:rsidR="00E87913" w:rsidRPr="00F12F90">
        <w:rPr>
          <w:lang w:val="ru-RU"/>
        </w:rPr>
        <w:t>.</w:t>
      </w:r>
    </w:p>
    <w:p w14:paraId="309A26F3" w14:textId="0F796297" w:rsidR="00856E86" w:rsidRPr="00F12F90" w:rsidRDefault="00856E86" w:rsidP="004F4482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Недеполяризующие</w:t>
      </w:r>
      <w:proofErr w:type="spell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миорелаксанты</w:t>
      </w:r>
      <w:proofErr w:type="spellEnd"/>
      <w:r w:rsidRPr="00F12F90">
        <w:rPr>
          <w:lang w:val="ru-RU"/>
        </w:rPr>
        <w:t xml:space="preserve">: </w:t>
      </w:r>
      <w:r w:rsidR="004F4482" w:rsidRPr="00F12F90">
        <w:rPr>
          <w:lang w:val="ru-RU"/>
        </w:rPr>
        <w:t xml:space="preserve">эффект </w:t>
      </w:r>
      <w:r w:rsidRPr="00F12F90">
        <w:rPr>
          <w:lang w:val="ru-RU"/>
        </w:rPr>
        <w:t>расслаблени</w:t>
      </w:r>
      <w:r w:rsidR="004F4482" w:rsidRPr="00F12F90">
        <w:rPr>
          <w:lang w:val="ru-RU"/>
        </w:rPr>
        <w:t>я</w:t>
      </w:r>
      <w:r w:rsidRPr="00F12F90">
        <w:rPr>
          <w:lang w:val="ru-RU"/>
        </w:rPr>
        <w:t xml:space="preserve"> мышц может длиться дольше</w:t>
      </w:r>
      <w:r w:rsidR="00E87913" w:rsidRPr="00F12F90">
        <w:rPr>
          <w:lang w:val="ru-RU"/>
        </w:rPr>
        <w:t>.</w:t>
      </w:r>
    </w:p>
    <w:p w14:paraId="22FB64B4" w14:textId="77777777" w:rsidR="00032CC6" w:rsidRPr="00F12F90" w:rsidRDefault="004F4482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Атропин, другие антихолинергические </w:t>
      </w:r>
      <w:r w:rsidR="005D0271" w:rsidRPr="00F12F90">
        <w:rPr>
          <w:lang w:val="ru-RU"/>
        </w:rPr>
        <w:t>препараты</w:t>
      </w:r>
      <w:r w:rsidRPr="00F12F90">
        <w:rPr>
          <w:lang w:val="ru-RU"/>
        </w:rPr>
        <w:t xml:space="preserve">: </w:t>
      </w:r>
      <w:r w:rsidR="00032CC6" w:rsidRPr="00F12F90">
        <w:rPr>
          <w:lang w:val="ru-RU"/>
        </w:rPr>
        <w:t>при одновременном применении возможно дополнительное повышение внутриглазного давления.</w:t>
      </w:r>
    </w:p>
    <w:p w14:paraId="1A507B2A" w14:textId="215308F6" w:rsidR="00856E86" w:rsidRPr="00F12F90" w:rsidRDefault="004F4482" w:rsidP="004F4482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Празиквантел</w:t>
      </w:r>
      <w:proofErr w:type="spellEnd"/>
      <w:r w:rsidRPr="00F12F90">
        <w:rPr>
          <w:lang w:val="ru-RU"/>
        </w:rPr>
        <w:t xml:space="preserve">: кортикостероиды могут вызывать снижение концентрации </w:t>
      </w:r>
      <w:proofErr w:type="spellStart"/>
      <w:r w:rsidRPr="00F12F90">
        <w:rPr>
          <w:lang w:val="ru-RU"/>
        </w:rPr>
        <w:t>празиквантела</w:t>
      </w:r>
      <w:proofErr w:type="spellEnd"/>
      <w:r w:rsidRPr="00F12F90">
        <w:rPr>
          <w:lang w:val="ru-RU"/>
        </w:rPr>
        <w:t xml:space="preserve"> в крови.</w:t>
      </w:r>
    </w:p>
    <w:p w14:paraId="1C91AFFC" w14:textId="00E9AF4A" w:rsidR="00856E86" w:rsidRPr="00F12F90" w:rsidRDefault="004F4482" w:rsidP="004F4482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Хлорохин</w:t>
      </w:r>
      <w:proofErr w:type="spell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гидроксихлорохин</w:t>
      </w:r>
      <w:proofErr w:type="spell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мефлохин</w:t>
      </w:r>
      <w:proofErr w:type="spellEnd"/>
      <w:r w:rsidRPr="00F12F90">
        <w:rPr>
          <w:lang w:val="ru-RU"/>
        </w:rPr>
        <w:t xml:space="preserve">: существует повышенный риск возникновения миопатий, </w:t>
      </w:r>
      <w:proofErr w:type="spellStart"/>
      <w:r w:rsidRPr="00F12F90">
        <w:rPr>
          <w:lang w:val="ru-RU"/>
        </w:rPr>
        <w:t>кардиомиопатий</w:t>
      </w:r>
      <w:proofErr w:type="spellEnd"/>
      <w:r w:rsidRPr="00F12F90">
        <w:rPr>
          <w:lang w:val="ru-RU"/>
        </w:rPr>
        <w:t>.</w:t>
      </w:r>
    </w:p>
    <w:p w14:paraId="08FE2A35" w14:textId="04762927" w:rsidR="00856E86" w:rsidRPr="00F12F90" w:rsidRDefault="004F4482" w:rsidP="004F4482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Протирелин</w:t>
      </w:r>
      <w:proofErr w:type="spellEnd"/>
      <w:r w:rsidRPr="00F12F90">
        <w:rPr>
          <w:lang w:val="ru-RU"/>
        </w:rPr>
        <w:t xml:space="preserve">: повышение ТТГ при введении </w:t>
      </w:r>
      <w:proofErr w:type="spellStart"/>
      <w:r w:rsidRPr="00F12F90">
        <w:rPr>
          <w:lang w:val="ru-RU"/>
        </w:rPr>
        <w:t>протирелина</w:t>
      </w:r>
      <w:proofErr w:type="spellEnd"/>
      <w:r w:rsidRPr="00F12F90">
        <w:rPr>
          <w:lang w:val="ru-RU"/>
        </w:rPr>
        <w:t xml:space="preserve"> может быть снижено.</w:t>
      </w:r>
    </w:p>
    <w:p w14:paraId="62E50B5C" w14:textId="77777777" w:rsidR="00032CC6" w:rsidRPr="00F12F90" w:rsidRDefault="004F4482" w:rsidP="004F4482">
      <w:pPr>
        <w:jc w:val="both"/>
        <w:rPr>
          <w:lang w:val="ru-RU"/>
        </w:rPr>
      </w:pPr>
      <w:r w:rsidRPr="00F12F90">
        <w:rPr>
          <w:lang w:val="ru-RU"/>
        </w:rPr>
        <w:t xml:space="preserve">Иммунодепрессанты: </w:t>
      </w:r>
      <w:r w:rsidR="00032CC6" w:rsidRPr="00F12F90">
        <w:rPr>
          <w:lang w:val="ru-RU"/>
        </w:rPr>
        <w:t xml:space="preserve">повышенная восприимчивость к инфекциям и возможное обострение или активация латентных инфекций. Кроме того, для </w:t>
      </w:r>
      <w:proofErr w:type="spellStart"/>
      <w:r w:rsidR="00032CC6" w:rsidRPr="00F12F90">
        <w:rPr>
          <w:lang w:val="ru-RU"/>
        </w:rPr>
        <w:t>циклоспорина</w:t>
      </w:r>
      <w:proofErr w:type="spellEnd"/>
      <w:r w:rsidR="00032CC6" w:rsidRPr="00F12F90">
        <w:rPr>
          <w:lang w:val="ru-RU"/>
        </w:rPr>
        <w:t xml:space="preserve">: повышение содержания </w:t>
      </w:r>
      <w:proofErr w:type="spellStart"/>
      <w:r w:rsidR="00032CC6" w:rsidRPr="00F12F90">
        <w:rPr>
          <w:lang w:val="ru-RU"/>
        </w:rPr>
        <w:t>циклоспорина</w:t>
      </w:r>
      <w:proofErr w:type="spellEnd"/>
      <w:r w:rsidR="00032CC6" w:rsidRPr="00F12F90">
        <w:rPr>
          <w:lang w:val="ru-RU"/>
        </w:rPr>
        <w:t xml:space="preserve"> в крови: существует повышенный риск судорог.</w:t>
      </w:r>
    </w:p>
    <w:p w14:paraId="5E0214DD" w14:textId="07F1C28F" w:rsidR="004F4482" w:rsidRPr="00F12F90" w:rsidRDefault="004F4482" w:rsidP="004F4482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Фторхинолоны</w:t>
      </w:r>
      <w:proofErr w:type="spellEnd"/>
      <w:r w:rsidRPr="00F12F90">
        <w:rPr>
          <w:lang w:val="ru-RU"/>
        </w:rPr>
        <w:t xml:space="preserve"> могут увеличить риск проблем с сухожилиями.</w:t>
      </w:r>
    </w:p>
    <w:p w14:paraId="10E75B4C" w14:textId="04C5E29C" w:rsidR="004F4482" w:rsidRPr="00F12F90" w:rsidRDefault="004F4482" w:rsidP="004F4482">
      <w:pPr>
        <w:jc w:val="both"/>
        <w:rPr>
          <w:lang w:val="ru-RU"/>
        </w:rPr>
      </w:pPr>
      <w:r w:rsidRPr="00F12F90">
        <w:rPr>
          <w:lang w:val="ru-RU"/>
        </w:rPr>
        <w:lastRenderedPageBreak/>
        <w:t>Влияние на методы исследования: может наблюдаться подавление кожных реакций на аллергические пробы.</w:t>
      </w:r>
    </w:p>
    <w:p w14:paraId="5E27FC33" w14:textId="77777777" w:rsidR="00A014BC" w:rsidRPr="00F12F90" w:rsidRDefault="00A014BC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0AA779B5" w14:textId="1BB1769A" w:rsidR="006232D6" w:rsidRPr="00F12F90" w:rsidRDefault="006232D6" w:rsidP="001820E2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4.6. Фертил</w:t>
      </w:r>
      <w:r w:rsidR="00D30798" w:rsidRPr="00F12F90">
        <w:rPr>
          <w:b/>
          <w:lang w:val="ru-RU"/>
        </w:rPr>
        <w:t>ьность, беременность и лактация</w:t>
      </w:r>
    </w:p>
    <w:p w14:paraId="6BC7E747" w14:textId="77777777" w:rsidR="00723CCD" w:rsidRPr="00F12F90" w:rsidRDefault="00723CCD" w:rsidP="001820E2">
      <w:pPr>
        <w:jc w:val="both"/>
        <w:rPr>
          <w:i/>
          <w:lang w:val="ru-RU"/>
        </w:rPr>
      </w:pPr>
      <w:r w:rsidRPr="00F12F90">
        <w:rPr>
          <w:i/>
          <w:lang w:val="ru-RU"/>
        </w:rPr>
        <w:t>Беременность</w:t>
      </w:r>
    </w:p>
    <w:p w14:paraId="50F430A6" w14:textId="6F0091B1" w:rsidR="009F52E7" w:rsidRPr="00F12F90" w:rsidRDefault="009F52E7" w:rsidP="001820E2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Дексаметазон</w:t>
      </w:r>
      <w:proofErr w:type="spellEnd"/>
      <w:r w:rsidRPr="00F12F90">
        <w:rPr>
          <w:lang w:val="ru-RU"/>
        </w:rPr>
        <w:t xml:space="preserve"> проникает через плаценту. Во время беременности, особенно в первые три месяца, его следует применять только после тщательной оценки риска и пользы.</w:t>
      </w:r>
    </w:p>
    <w:p w14:paraId="2CECEC38" w14:textId="761F439F" w:rsidR="009F52E7" w:rsidRPr="00F12F90" w:rsidRDefault="009F52E7" w:rsidP="001820E2">
      <w:pPr>
        <w:jc w:val="both"/>
        <w:rPr>
          <w:lang w:val="ru-RU"/>
        </w:rPr>
      </w:pPr>
      <w:r w:rsidRPr="00F12F90">
        <w:rPr>
          <w:lang w:val="ru-RU"/>
        </w:rPr>
        <w:t xml:space="preserve">В случае длительного лечения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идами</w:t>
      </w:r>
      <w:proofErr w:type="spellEnd"/>
      <w:r w:rsidRPr="00F12F90">
        <w:rPr>
          <w:lang w:val="ru-RU"/>
        </w:rPr>
        <w:t xml:space="preserve"> во время беременности нельзя исключать нарушения роста у плода.</w:t>
      </w:r>
    </w:p>
    <w:p w14:paraId="0551DBC8" w14:textId="77777777" w:rsidR="00032CC6" w:rsidRPr="00F12F90" w:rsidRDefault="009F52E7" w:rsidP="001820E2">
      <w:pPr>
        <w:jc w:val="both"/>
        <w:rPr>
          <w:lang w:val="ru-RU"/>
        </w:rPr>
      </w:pPr>
      <w:r w:rsidRPr="00F12F90">
        <w:rPr>
          <w:lang w:val="ru-RU"/>
        </w:rPr>
        <w:t xml:space="preserve">Введение кортикостероидов беременным животным может вызвать аномалии развития плода, включая расщепление неба, задержку внутриутробного развития и воздействие на </w:t>
      </w:r>
      <w:proofErr w:type="gramStart"/>
      <w:r w:rsidRPr="00F12F90">
        <w:rPr>
          <w:lang w:val="ru-RU"/>
        </w:rPr>
        <w:t>рост</w:t>
      </w:r>
      <w:proofErr w:type="gramEnd"/>
      <w:r w:rsidRPr="00F12F90">
        <w:rPr>
          <w:lang w:val="ru-RU"/>
        </w:rPr>
        <w:t xml:space="preserve"> и развитие мозга. </w:t>
      </w:r>
      <w:r w:rsidR="00032CC6" w:rsidRPr="00F12F90">
        <w:rPr>
          <w:lang w:val="ru-RU"/>
        </w:rPr>
        <w:t>Доказательства того, что применение кортикостероидов приводит к повышенной частоте врожденных аномалий, таких как расщелина неба/</w:t>
      </w:r>
      <w:proofErr w:type="gramStart"/>
      <w:r w:rsidR="00032CC6" w:rsidRPr="00F12F90">
        <w:rPr>
          <w:lang w:val="ru-RU"/>
        </w:rPr>
        <w:t>губ</w:t>
      </w:r>
      <w:proofErr w:type="gramEnd"/>
      <w:r w:rsidR="00032CC6" w:rsidRPr="00F12F90">
        <w:rPr>
          <w:lang w:val="ru-RU"/>
        </w:rPr>
        <w:t xml:space="preserve"> у человека отсутствуют (см. раздел 5.3).</w:t>
      </w:r>
    </w:p>
    <w:p w14:paraId="136A0852" w14:textId="77777777" w:rsidR="00032CC6" w:rsidRPr="00F12F90" w:rsidRDefault="00032CC6" w:rsidP="001820E2">
      <w:pPr>
        <w:jc w:val="both"/>
        <w:rPr>
          <w:lang w:val="ru-RU"/>
        </w:rPr>
      </w:pPr>
      <w:r w:rsidRPr="00F12F90">
        <w:rPr>
          <w:lang w:val="ru-RU"/>
        </w:rPr>
        <w:t xml:space="preserve">При применении </w:t>
      </w:r>
      <w:proofErr w:type="spellStart"/>
      <w:r w:rsidRPr="00F12F90">
        <w:rPr>
          <w:lang w:val="ru-RU"/>
        </w:rPr>
        <w:t>глюкокортикостероидов</w:t>
      </w:r>
      <w:proofErr w:type="spellEnd"/>
      <w:r w:rsidRPr="00F12F90">
        <w:rPr>
          <w:lang w:val="ru-RU"/>
        </w:rPr>
        <w:t xml:space="preserve"> в конце периода беременности, существует риск атрофии коры надпочечников плода, что может потребовать заместительной терапии у новорожденного, которую далее необходимо медленно снижать.</w:t>
      </w:r>
    </w:p>
    <w:p w14:paraId="6F3897F5" w14:textId="65CDEB55" w:rsidR="00723CCD" w:rsidRPr="00F12F90" w:rsidRDefault="00723CCD" w:rsidP="001820E2">
      <w:pPr>
        <w:jc w:val="both"/>
        <w:rPr>
          <w:lang w:val="ru-RU"/>
        </w:rPr>
      </w:pPr>
      <w:r w:rsidRPr="00F12F90">
        <w:rPr>
          <w:lang w:val="ru-RU"/>
        </w:rPr>
        <w:t xml:space="preserve">Исследования показали повышенный риск неонатальной гипогликемии после краткосрочного применения кортикостероидов, включая </w:t>
      </w:r>
      <w:proofErr w:type="spellStart"/>
      <w:r w:rsidRPr="00F12F90">
        <w:rPr>
          <w:lang w:val="ru-RU"/>
        </w:rPr>
        <w:t>дексаметазон</w:t>
      </w:r>
      <w:proofErr w:type="spellEnd"/>
      <w:r w:rsidRPr="00F12F90">
        <w:rPr>
          <w:lang w:val="ru-RU"/>
        </w:rPr>
        <w:t>, беременными женщинами с риском поздних преждевременных родов.</w:t>
      </w:r>
    </w:p>
    <w:p w14:paraId="15A6A42F" w14:textId="77777777" w:rsidR="001820E2" w:rsidRPr="00F12F90" w:rsidRDefault="001820E2" w:rsidP="001820E2">
      <w:pPr>
        <w:jc w:val="both"/>
        <w:rPr>
          <w:i/>
          <w:lang w:val="ru-RU"/>
        </w:rPr>
      </w:pPr>
      <w:r w:rsidRPr="00F12F90">
        <w:rPr>
          <w:i/>
          <w:lang w:val="ru-RU"/>
        </w:rPr>
        <w:t>Грудное вскармливание</w:t>
      </w:r>
    </w:p>
    <w:p w14:paraId="720AB07C" w14:textId="034FBCE2" w:rsidR="001E4547" w:rsidRPr="00F12F90" w:rsidRDefault="001820E2" w:rsidP="00032CC6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Дексаметазон</w:t>
      </w:r>
      <w:proofErr w:type="spellEnd"/>
      <w:r w:rsidRPr="00F12F90">
        <w:rPr>
          <w:lang w:val="ru-RU"/>
        </w:rPr>
        <w:t xml:space="preserve"> проникает в грудное молоко. </w:t>
      </w:r>
      <w:r w:rsidR="00032CC6" w:rsidRPr="00F12F90">
        <w:rPr>
          <w:lang w:val="ru-RU"/>
        </w:rPr>
        <w:t>Неизвестны случаи нежелательного воздействия на детей грудного возраста. Тем не менее, в период лактации препарат следует применять по строгим показаниям. Если при заболевании требуется применение более высоких доз, грудное вскармливание следует прекратить.</w:t>
      </w:r>
    </w:p>
    <w:p w14:paraId="250DD02B" w14:textId="77777777" w:rsidR="00032CC6" w:rsidRPr="00F12F90" w:rsidRDefault="00032CC6" w:rsidP="00032CC6">
      <w:pPr>
        <w:jc w:val="both"/>
        <w:rPr>
          <w:lang w:val="ru-RU"/>
        </w:rPr>
      </w:pPr>
    </w:p>
    <w:p w14:paraId="575DB1CF" w14:textId="77777777" w:rsidR="00126600" w:rsidRPr="00F12F90" w:rsidRDefault="006232D6" w:rsidP="00126600">
      <w:pPr>
        <w:jc w:val="both"/>
        <w:rPr>
          <w:rFonts w:eastAsia="Times New Roman"/>
          <w:b/>
          <w:lang w:val="ru-RU" w:eastAsia="ru-RU"/>
        </w:rPr>
      </w:pPr>
      <w:r w:rsidRPr="00F12F90">
        <w:rPr>
          <w:b/>
          <w:lang w:val="ru-RU"/>
        </w:rPr>
        <w:t>4.7. Влияние на способность управлять транспортными сред</w:t>
      </w:r>
      <w:r w:rsidR="00D30798" w:rsidRPr="00F12F90">
        <w:rPr>
          <w:b/>
          <w:lang w:val="ru-RU"/>
        </w:rPr>
        <w:t xml:space="preserve">ствами </w:t>
      </w:r>
      <w:r w:rsidR="00126600" w:rsidRPr="00F12F90">
        <w:rPr>
          <w:rFonts w:eastAsia="Times New Roman"/>
          <w:b/>
          <w:lang w:val="ru-RU" w:eastAsia="ru-RU"/>
        </w:rPr>
        <w:t>и потенциально опасными механизмами</w:t>
      </w:r>
    </w:p>
    <w:p w14:paraId="4A2BE17F" w14:textId="5A2CF482" w:rsidR="00126600" w:rsidRPr="00F12F90" w:rsidRDefault="00032CC6" w:rsidP="00032CC6">
      <w:pPr>
        <w:jc w:val="both"/>
        <w:rPr>
          <w:b/>
          <w:lang w:val="ru-RU"/>
        </w:rPr>
      </w:pPr>
      <w:r w:rsidRPr="00F12F90">
        <w:rPr>
          <w:lang w:val="ru-RU"/>
        </w:rPr>
        <w:t xml:space="preserve">Информация о влиянии </w:t>
      </w:r>
      <w:r w:rsidRPr="00F12F90">
        <w:rPr>
          <w:rFonts w:eastAsia="Times New Roman"/>
          <w:bCs/>
          <w:caps/>
          <w:lang w:val="ru-RU"/>
        </w:rPr>
        <w:t>[</w:t>
      </w:r>
      <w:r w:rsidRPr="00F12F90">
        <w:rPr>
          <w:rFonts w:eastAsia="Times New Roman"/>
          <w:bCs/>
          <w:caps/>
          <w:highlight w:val="lightGray"/>
          <w:lang w:val="ru-RU"/>
        </w:rPr>
        <w:t>ТОРГОВОЕ НАЗВАНИЕ</w:t>
      </w:r>
      <w:r w:rsidRPr="00F12F90">
        <w:rPr>
          <w:rFonts w:eastAsia="Times New Roman"/>
          <w:bCs/>
          <w:caps/>
          <w:lang w:val="ru-RU"/>
        </w:rPr>
        <w:t>]</w:t>
      </w:r>
      <w:r w:rsidRPr="00F12F90">
        <w:rPr>
          <w:lang w:val="ru-RU"/>
        </w:rPr>
        <w:t xml:space="preserve"> на способность управлять транспортными средствами и потенциально опасными механизмами отсутствует.</w:t>
      </w:r>
    </w:p>
    <w:p w14:paraId="63070EC2" w14:textId="77777777" w:rsidR="00032CC6" w:rsidRPr="00F12F90" w:rsidRDefault="00032CC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3CBC595B" w14:textId="139EB5E2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4.8. Нежелательные реакции</w:t>
      </w:r>
    </w:p>
    <w:p w14:paraId="69474E20" w14:textId="52C4603E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 xml:space="preserve">Риск развития нежелательных эффектов является низким при кратковременном лечении </w:t>
      </w:r>
      <w:proofErr w:type="spellStart"/>
      <w:r w:rsidR="009D3DEE">
        <w:rPr>
          <w:rFonts w:eastAsia="Calibri"/>
          <w:lang w:val="ru-RU"/>
        </w:rPr>
        <w:t>д</w:t>
      </w:r>
      <w:r w:rsidRPr="00F12F90">
        <w:rPr>
          <w:rFonts w:eastAsia="Calibri"/>
          <w:lang w:val="ru-RU"/>
        </w:rPr>
        <w:t>ексаметазоном</w:t>
      </w:r>
      <w:proofErr w:type="spellEnd"/>
      <w:r w:rsidRPr="00F12F90">
        <w:rPr>
          <w:rFonts w:eastAsia="Calibri"/>
          <w:lang w:val="ru-RU"/>
        </w:rPr>
        <w:t>, за исключением парентеральной высокодозной терапии, когда могут наблюдаться изменения электролитов, возникновение отеков, возможно повышение артериального давления, остановка сердца, нарушения сердечного ритма или судороги, а также клинические проявления инфекций, которые могут наблюдаться при кратковременном лечении. Следует обратить внимание на наличие возможных язв желудка и кишечника (часто вызванные стрессом), поскольку лечение кортикостероидами может уменьшить проявления симптомов, а также снизить толерантность к глюкозе.</w:t>
      </w:r>
    </w:p>
    <w:p w14:paraId="6F8D1071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Возможно развитие следующих нежелательных эффектов, имеющих выраженную зависимость от дозы и продолжительности лечения, поэтому их частота не может быть определена.</w:t>
      </w:r>
    </w:p>
    <w:p w14:paraId="11BCB1B2" w14:textId="77777777" w:rsidR="00830217" w:rsidRPr="00F12F90" w:rsidRDefault="00830217" w:rsidP="00830217">
      <w:pPr>
        <w:jc w:val="both"/>
        <w:rPr>
          <w:rFonts w:eastAsia="Calibri"/>
          <w:i/>
          <w:sz w:val="16"/>
          <w:szCs w:val="16"/>
          <w:lang w:val="ru-RU"/>
        </w:rPr>
      </w:pPr>
    </w:p>
    <w:p w14:paraId="0EF9A9B2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i/>
          <w:lang w:val="ru-RU"/>
        </w:rPr>
        <w:t>Инфекции и инвазии</w:t>
      </w:r>
    </w:p>
    <w:p w14:paraId="1AEFD5B4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Маскировка инфекций, проявление и обострение вирусных инфекций, грибковых инфекций, бактериальных, паразитарных и оппортунистических инфекций, активация</w:t>
      </w:r>
    </w:p>
    <w:p w14:paraId="7DE60B2A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proofErr w:type="spellStart"/>
      <w:r w:rsidRPr="00F12F90">
        <w:rPr>
          <w:rFonts w:eastAsia="Calibri"/>
          <w:lang w:val="ru-RU"/>
        </w:rPr>
        <w:t>стронгилоидоза</w:t>
      </w:r>
      <w:proofErr w:type="spellEnd"/>
      <w:r w:rsidRPr="00F12F90">
        <w:rPr>
          <w:rFonts w:eastAsia="Calibri"/>
          <w:lang w:val="ru-RU"/>
        </w:rPr>
        <w:t xml:space="preserve"> (см. раздел 4.4).</w:t>
      </w:r>
    </w:p>
    <w:p w14:paraId="7D4753F9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346D721E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крови и лимфатической системы</w:t>
      </w:r>
    </w:p>
    <w:p w14:paraId="65BFA9B6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 xml:space="preserve">Умеренный лейкоцитоз, </w:t>
      </w:r>
      <w:proofErr w:type="spellStart"/>
      <w:r w:rsidRPr="00F12F90">
        <w:rPr>
          <w:rFonts w:eastAsia="Calibri"/>
          <w:lang w:val="ru-RU"/>
        </w:rPr>
        <w:t>лимфоцитопения</w:t>
      </w:r>
      <w:proofErr w:type="spellEnd"/>
      <w:r w:rsidRPr="00F12F90">
        <w:rPr>
          <w:rFonts w:eastAsia="Calibri"/>
          <w:lang w:val="ru-RU"/>
        </w:rPr>
        <w:t xml:space="preserve">, </w:t>
      </w:r>
      <w:proofErr w:type="spellStart"/>
      <w:r w:rsidRPr="00F12F90">
        <w:rPr>
          <w:rFonts w:eastAsia="Calibri"/>
          <w:lang w:val="ru-RU"/>
        </w:rPr>
        <w:t>эозинопения</w:t>
      </w:r>
      <w:proofErr w:type="spellEnd"/>
      <w:r w:rsidRPr="00F12F90">
        <w:rPr>
          <w:rFonts w:eastAsia="Calibri"/>
          <w:lang w:val="ru-RU"/>
        </w:rPr>
        <w:t>, полицитемия.</w:t>
      </w:r>
    </w:p>
    <w:p w14:paraId="04DE8988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684ED4C9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иммунной системы</w:t>
      </w:r>
    </w:p>
    <w:p w14:paraId="33460D92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 xml:space="preserve">Реакции гиперчувствительности (например, медикаментозная экзантема), тяжелые анафилактические реакции, такие как аритмия, </w:t>
      </w:r>
      <w:proofErr w:type="spellStart"/>
      <w:r w:rsidRPr="00F12F90">
        <w:rPr>
          <w:rFonts w:eastAsia="Calibri"/>
          <w:lang w:val="ru-RU"/>
        </w:rPr>
        <w:t>бронхоспазм</w:t>
      </w:r>
      <w:proofErr w:type="spellEnd"/>
      <w:r w:rsidRPr="00F12F90">
        <w:rPr>
          <w:rFonts w:eastAsia="Calibri"/>
          <w:lang w:val="ru-RU"/>
        </w:rPr>
        <w:t xml:space="preserve">, </w:t>
      </w:r>
      <w:proofErr w:type="spellStart"/>
      <w:r w:rsidRPr="00F12F90">
        <w:rPr>
          <w:rFonts w:eastAsia="Calibri"/>
          <w:lang w:val="ru-RU"/>
        </w:rPr>
        <w:t>гипо</w:t>
      </w:r>
      <w:proofErr w:type="spellEnd"/>
      <w:r w:rsidRPr="00F12F90">
        <w:rPr>
          <w:rFonts w:eastAsia="Calibri"/>
          <w:lang w:val="ru-RU"/>
        </w:rPr>
        <w:t xml:space="preserve"> - или гипертензия,</w:t>
      </w:r>
    </w:p>
    <w:p w14:paraId="218358C2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недостаточность кровообращения, остановка сердца, снижение иммунитета.</w:t>
      </w:r>
    </w:p>
    <w:p w14:paraId="46F0BF3A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1CE4E91E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эндокринной системы</w:t>
      </w:r>
    </w:p>
    <w:p w14:paraId="14CFDD99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 xml:space="preserve">Синдром </w:t>
      </w:r>
      <w:proofErr w:type="spellStart"/>
      <w:r w:rsidRPr="00F12F90">
        <w:rPr>
          <w:rFonts w:eastAsia="Calibri"/>
          <w:lang w:val="ru-RU"/>
        </w:rPr>
        <w:t>Кушинга</w:t>
      </w:r>
      <w:proofErr w:type="spellEnd"/>
      <w:r w:rsidRPr="00F12F90">
        <w:rPr>
          <w:rFonts w:eastAsia="Calibri"/>
          <w:lang w:val="ru-RU"/>
        </w:rPr>
        <w:t xml:space="preserve"> (типичные симптомы: лунообразное лицо, ожирение по центральному типу, избыточный вес), угнетение функции надпочечников (см. раздел 4.4).</w:t>
      </w:r>
    </w:p>
    <w:p w14:paraId="0574E4D1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707ADC2C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обмена веществ и питания</w:t>
      </w:r>
    </w:p>
    <w:p w14:paraId="345D714E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 xml:space="preserve">Задержка натрия при отеках, повышенная экскреция калия (риск развития аритмий), увеличение массы тела, снижение толерантности к глюкозе, сахарный диабет, </w:t>
      </w:r>
      <w:proofErr w:type="spellStart"/>
      <w:r w:rsidRPr="00F12F90">
        <w:rPr>
          <w:rFonts w:eastAsia="Calibri"/>
          <w:lang w:val="ru-RU"/>
        </w:rPr>
        <w:t>гиперхолестеринемия</w:t>
      </w:r>
      <w:proofErr w:type="spellEnd"/>
      <w:r w:rsidRPr="00F12F90">
        <w:rPr>
          <w:rFonts w:eastAsia="Calibri"/>
          <w:lang w:val="ru-RU"/>
        </w:rPr>
        <w:t xml:space="preserve"> и </w:t>
      </w:r>
      <w:proofErr w:type="spellStart"/>
      <w:r w:rsidRPr="00F12F90">
        <w:rPr>
          <w:rFonts w:eastAsia="Calibri"/>
          <w:lang w:val="ru-RU"/>
        </w:rPr>
        <w:t>гипертриглицеридемия</w:t>
      </w:r>
      <w:proofErr w:type="spellEnd"/>
      <w:r w:rsidRPr="00F12F90">
        <w:rPr>
          <w:rFonts w:eastAsia="Calibri"/>
          <w:lang w:val="ru-RU"/>
        </w:rPr>
        <w:t>, повышенный аппетит.</w:t>
      </w:r>
    </w:p>
    <w:p w14:paraId="7FD097C5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005B69FD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психики</w:t>
      </w:r>
    </w:p>
    <w:p w14:paraId="4DFDC755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proofErr w:type="gramStart"/>
      <w:r w:rsidRPr="00F12F90">
        <w:rPr>
          <w:rFonts w:eastAsia="Calibri"/>
          <w:lang w:val="ru-RU"/>
        </w:rPr>
        <w:t>Депрессия, раздражительность, эйфория, повышенное влечение, психозы, мания, галлюцинации, эмоциональная лабильность, тревожность, нарушения сна, суицидальное поведение.</w:t>
      </w:r>
      <w:proofErr w:type="gramEnd"/>
    </w:p>
    <w:p w14:paraId="1BD4D91B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4F999EC6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нервной системы</w:t>
      </w:r>
    </w:p>
    <w:p w14:paraId="536CF416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proofErr w:type="spellStart"/>
      <w:r w:rsidRPr="00F12F90">
        <w:rPr>
          <w:rFonts w:eastAsia="Calibri"/>
          <w:lang w:val="ru-RU"/>
        </w:rPr>
        <w:t>Псевдотумор</w:t>
      </w:r>
      <w:proofErr w:type="spellEnd"/>
      <w:r w:rsidRPr="00F12F90">
        <w:rPr>
          <w:rFonts w:eastAsia="Calibri"/>
          <w:lang w:val="ru-RU"/>
        </w:rPr>
        <w:t xml:space="preserve"> головного мозга, проявление латентной эпилепсии, повышение судорожной готовности при </w:t>
      </w:r>
      <w:proofErr w:type="spellStart"/>
      <w:r w:rsidRPr="00F12F90">
        <w:rPr>
          <w:rFonts w:eastAsia="Calibri"/>
          <w:lang w:val="ru-RU"/>
        </w:rPr>
        <w:t>манифестной</w:t>
      </w:r>
      <w:proofErr w:type="spellEnd"/>
      <w:r w:rsidRPr="00F12F90">
        <w:rPr>
          <w:rFonts w:eastAsia="Calibri"/>
          <w:lang w:val="ru-RU"/>
        </w:rPr>
        <w:t xml:space="preserve"> эпилепсии.</w:t>
      </w:r>
    </w:p>
    <w:p w14:paraId="15DCC7E3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51ED056A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органа зрения</w:t>
      </w:r>
    </w:p>
    <w:p w14:paraId="0CF584F5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 xml:space="preserve">Катаракта, особенно при заднем </w:t>
      </w:r>
      <w:proofErr w:type="spellStart"/>
      <w:r w:rsidRPr="00F12F90">
        <w:rPr>
          <w:rFonts w:eastAsia="Calibri"/>
          <w:lang w:val="ru-RU"/>
        </w:rPr>
        <w:t>субкапсулярном</w:t>
      </w:r>
      <w:proofErr w:type="spellEnd"/>
      <w:r w:rsidRPr="00F12F90">
        <w:rPr>
          <w:rFonts w:eastAsia="Calibri"/>
          <w:lang w:val="ru-RU"/>
        </w:rPr>
        <w:t xml:space="preserve"> помутнении, глаукома, обострение симптомов, связанных с изъязвлением роговицы, учащение возникновения вирусных, грибковых и бактериальных инфекций глаза, обострение бактериальных инфекций роговицы, птоз, </w:t>
      </w:r>
      <w:proofErr w:type="spellStart"/>
      <w:r w:rsidRPr="00F12F90">
        <w:rPr>
          <w:rFonts w:eastAsia="Calibri"/>
          <w:lang w:val="ru-RU"/>
        </w:rPr>
        <w:t>мидриаз</w:t>
      </w:r>
      <w:proofErr w:type="spellEnd"/>
      <w:r w:rsidRPr="00F12F90">
        <w:rPr>
          <w:rFonts w:eastAsia="Calibri"/>
          <w:lang w:val="ru-RU"/>
        </w:rPr>
        <w:t xml:space="preserve">, </w:t>
      </w:r>
      <w:proofErr w:type="spellStart"/>
      <w:r w:rsidRPr="00F12F90">
        <w:rPr>
          <w:rFonts w:eastAsia="Calibri"/>
          <w:lang w:val="ru-RU"/>
        </w:rPr>
        <w:t>хемоз</w:t>
      </w:r>
      <w:proofErr w:type="spellEnd"/>
      <w:r w:rsidRPr="00F12F90">
        <w:rPr>
          <w:rFonts w:eastAsia="Calibri"/>
          <w:lang w:val="ru-RU"/>
        </w:rPr>
        <w:t xml:space="preserve">, ятрогенная перфорация склеры, </w:t>
      </w:r>
      <w:proofErr w:type="spellStart"/>
      <w:r w:rsidRPr="00F12F90">
        <w:rPr>
          <w:rFonts w:eastAsia="Calibri"/>
          <w:lang w:val="ru-RU"/>
        </w:rPr>
        <w:t>хориоретинопатия</w:t>
      </w:r>
      <w:proofErr w:type="spellEnd"/>
      <w:r w:rsidRPr="00F12F90">
        <w:rPr>
          <w:rFonts w:eastAsia="Calibri"/>
          <w:lang w:val="ru-RU"/>
        </w:rPr>
        <w:t xml:space="preserve">. Редкие случаи обратимого экзофтальма, после </w:t>
      </w:r>
      <w:proofErr w:type="spellStart"/>
      <w:r w:rsidRPr="00F12F90">
        <w:rPr>
          <w:rFonts w:eastAsia="Calibri"/>
          <w:lang w:val="ru-RU"/>
        </w:rPr>
        <w:t>субконъюнктивального</w:t>
      </w:r>
      <w:proofErr w:type="spellEnd"/>
      <w:r w:rsidRPr="00F12F90">
        <w:rPr>
          <w:rFonts w:eastAsia="Calibri"/>
          <w:lang w:val="ru-RU"/>
        </w:rPr>
        <w:t xml:space="preserve"> применения </w:t>
      </w:r>
      <w:proofErr w:type="spellStart"/>
      <w:r w:rsidRPr="00F12F90">
        <w:rPr>
          <w:rFonts w:eastAsia="Calibri"/>
          <w:lang w:val="ru-RU"/>
        </w:rPr>
        <w:t>дексаметазона</w:t>
      </w:r>
      <w:proofErr w:type="spellEnd"/>
      <w:r w:rsidRPr="00F12F90">
        <w:rPr>
          <w:rFonts w:eastAsia="Calibri"/>
          <w:lang w:val="ru-RU"/>
        </w:rPr>
        <w:t xml:space="preserve"> также герпетический кератит, перфорация роговицы в случаях существующего кератита, нечеткость зрения (см. также раздел 4.4).</w:t>
      </w:r>
    </w:p>
    <w:p w14:paraId="41FA6F7D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3F93E900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сердца</w:t>
      </w:r>
    </w:p>
    <w:p w14:paraId="285E6FA1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proofErr w:type="gramStart"/>
      <w:r w:rsidRPr="00F12F90">
        <w:rPr>
          <w:rFonts w:eastAsia="Calibri"/>
          <w:lang w:val="ru-RU"/>
        </w:rPr>
        <w:t>Гипертрофическая</w:t>
      </w:r>
      <w:proofErr w:type="gramEnd"/>
      <w:r w:rsidRPr="00F12F90">
        <w:rPr>
          <w:rFonts w:eastAsia="Calibri"/>
          <w:lang w:val="ru-RU"/>
        </w:rPr>
        <w:t xml:space="preserve"> </w:t>
      </w:r>
      <w:proofErr w:type="spellStart"/>
      <w:r w:rsidRPr="00F12F90">
        <w:rPr>
          <w:rFonts w:eastAsia="Calibri"/>
          <w:lang w:val="ru-RU"/>
        </w:rPr>
        <w:t>кардиомиопатия</w:t>
      </w:r>
      <w:proofErr w:type="spellEnd"/>
      <w:r w:rsidRPr="00F12F90">
        <w:rPr>
          <w:rFonts w:eastAsia="Calibri"/>
          <w:lang w:val="ru-RU"/>
        </w:rPr>
        <w:t xml:space="preserve"> у недоношенных детей (см. раздел 4.4)</w:t>
      </w:r>
      <w:r w:rsidRPr="00F12F90">
        <w:rPr>
          <w:rFonts w:eastAsia="Calibri"/>
          <w:i/>
          <w:lang w:val="ru-RU"/>
        </w:rPr>
        <w:t>.</w:t>
      </w:r>
    </w:p>
    <w:p w14:paraId="49ED4A08" w14:textId="77777777" w:rsidR="00830217" w:rsidRPr="00F12F90" w:rsidRDefault="00830217" w:rsidP="00830217">
      <w:pPr>
        <w:jc w:val="both"/>
        <w:rPr>
          <w:rFonts w:eastAsia="Calibri"/>
          <w:i/>
          <w:sz w:val="16"/>
          <w:szCs w:val="16"/>
          <w:lang w:val="ru-RU"/>
        </w:rPr>
      </w:pPr>
    </w:p>
    <w:p w14:paraId="2F3DE6E1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сосудов</w:t>
      </w:r>
    </w:p>
    <w:p w14:paraId="74CF14A3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 xml:space="preserve">Артериальная гипертензия, повышенный риск развития атеросклероза и тромбоза, </w:t>
      </w:r>
      <w:proofErr w:type="spellStart"/>
      <w:r w:rsidRPr="00F12F90">
        <w:rPr>
          <w:rFonts w:eastAsia="Calibri"/>
          <w:lang w:val="ru-RU"/>
        </w:rPr>
        <w:t>васкулит</w:t>
      </w:r>
      <w:proofErr w:type="spellEnd"/>
      <w:r w:rsidRPr="00F12F90">
        <w:rPr>
          <w:rFonts w:eastAsia="Calibri"/>
          <w:lang w:val="ru-RU"/>
        </w:rPr>
        <w:t xml:space="preserve"> (также как синдром отмены после длительной терапии), повышенная хрупкость капилляров.</w:t>
      </w:r>
    </w:p>
    <w:p w14:paraId="47579552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0608380B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желудочно-кишечного тракта</w:t>
      </w:r>
    </w:p>
    <w:p w14:paraId="045ABBE4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Язвы желудка и двенадцатиперстной кишки, желудочно-кишечные кровотечения, панкреатит, дискомфорт в области желудке, икота.</w:t>
      </w:r>
    </w:p>
    <w:p w14:paraId="27E6CEA8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5C92B8AE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</w:t>
      </w:r>
      <w:r w:rsidRPr="00F12F90">
        <w:rPr>
          <w:rFonts w:eastAsia="Calibri"/>
          <w:lang w:val="ru-RU"/>
        </w:rPr>
        <w:t xml:space="preserve"> </w:t>
      </w:r>
      <w:r w:rsidRPr="00F12F90">
        <w:rPr>
          <w:rFonts w:eastAsia="Calibri"/>
          <w:i/>
          <w:lang w:val="ru-RU"/>
        </w:rPr>
        <w:t>кожи и подкожных тканей</w:t>
      </w:r>
    </w:p>
    <w:p w14:paraId="03C3C727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proofErr w:type="spellStart"/>
      <w:r w:rsidRPr="00F12F90">
        <w:rPr>
          <w:rFonts w:eastAsia="Calibri"/>
          <w:lang w:val="ru-RU"/>
        </w:rPr>
        <w:t>Стрии</w:t>
      </w:r>
      <w:proofErr w:type="spellEnd"/>
      <w:r w:rsidRPr="00F12F90">
        <w:rPr>
          <w:rFonts w:eastAsia="Calibri"/>
          <w:lang w:val="ru-RU"/>
        </w:rPr>
        <w:t xml:space="preserve">, атрофия, </w:t>
      </w:r>
      <w:proofErr w:type="spellStart"/>
      <w:r w:rsidRPr="00F12F90">
        <w:rPr>
          <w:rFonts w:eastAsia="Calibri"/>
          <w:lang w:val="ru-RU"/>
        </w:rPr>
        <w:t>телеангиэктазии</w:t>
      </w:r>
      <w:proofErr w:type="spellEnd"/>
      <w:r w:rsidRPr="00F12F90">
        <w:rPr>
          <w:rFonts w:eastAsia="Calibri"/>
          <w:lang w:val="ru-RU"/>
        </w:rPr>
        <w:t xml:space="preserve">, петехии, </w:t>
      </w:r>
      <w:proofErr w:type="spellStart"/>
      <w:r w:rsidRPr="00F12F90">
        <w:rPr>
          <w:rFonts w:eastAsia="Calibri"/>
          <w:lang w:val="ru-RU"/>
        </w:rPr>
        <w:t>экхимоз</w:t>
      </w:r>
      <w:proofErr w:type="spellEnd"/>
      <w:r w:rsidRPr="00F12F90">
        <w:rPr>
          <w:rFonts w:eastAsia="Calibri"/>
          <w:lang w:val="ru-RU"/>
        </w:rPr>
        <w:t xml:space="preserve">, гипертрихоз, </w:t>
      </w:r>
      <w:proofErr w:type="spellStart"/>
      <w:r w:rsidRPr="00F12F90">
        <w:rPr>
          <w:rFonts w:eastAsia="Calibri"/>
          <w:lang w:val="ru-RU"/>
        </w:rPr>
        <w:t>стероидиндуцированные</w:t>
      </w:r>
      <w:proofErr w:type="spellEnd"/>
      <w:r w:rsidRPr="00F12F90">
        <w:rPr>
          <w:rFonts w:eastAsia="Calibri"/>
          <w:lang w:val="ru-RU"/>
        </w:rPr>
        <w:t xml:space="preserve"> угри, </w:t>
      </w:r>
      <w:proofErr w:type="spellStart"/>
      <w:r w:rsidRPr="00F12F90">
        <w:rPr>
          <w:rFonts w:eastAsia="Calibri"/>
          <w:lang w:val="ru-RU"/>
        </w:rPr>
        <w:t>розацеаподобный</w:t>
      </w:r>
      <w:proofErr w:type="spellEnd"/>
      <w:r w:rsidRPr="00F12F90">
        <w:rPr>
          <w:rFonts w:eastAsia="Calibri"/>
          <w:lang w:val="ru-RU"/>
        </w:rPr>
        <w:t xml:space="preserve"> (</w:t>
      </w:r>
      <w:proofErr w:type="spellStart"/>
      <w:r w:rsidRPr="00F12F90">
        <w:rPr>
          <w:rFonts w:eastAsia="Calibri"/>
          <w:lang w:val="ru-RU"/>
        </w:rPr>
        <w:t>периоральный</w:t>
      </w:r>
      <w:proofErr w:type="spellEnd"/>
      <w:r w:rsidRPr="00F12F90">
        <w:rPr>
          <w:rFonts w:eastAsia="Calibri"/>
          <w:lang w:val="ru-RU"/>
        </w:rPr>
        <w:t>) дерматит, изменения пигментации кожи.</w:t>
      </w:r>
    </w:p>
    <w:p w14:paraId="08BBD1C7" w14:textId="77777777" w:rsidR="00830217" w:rsidRPr="00F12F90" w:rsidRDefault="00830217" w:rsidP="00830217">
      <w:pPr>
        <w:jc w:val="both"/>
        <w:rPr>
          <w:rFonts w:eastAsia="Calibri"/>
          <w:i/>
          <w:sz w:val="16"/>
          <w:szCs w:val="16"/>
          <w:lang w:val="ru-RU"/>
        </w:rPr>
      </w:pPr>
    </w:p>
    <w:p w14:paraId="286B7205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опорно-двигательного аппарата и соединительной ткани</w:t>
      </w:r>
    </w:p>
    <w:p w14:paraId="3D020288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Миопатия, атрофия и слабость мышц, остеопороз (</w:t>
      </w:r>
      <w:proofErr w:type="spellStart"/>
      <w:r w:rsidRPr="00F12F90">
        <w:rPr>
          <w:rFonts w:eastAsia="Calibri"/>
          <w:lang w:val="ru-RU"/>
        </w:rPr>
        <w:t>дозозависимый</w:t>
      </w:r>
      <w:proofErr w:type="spellEnd"/>
      <w:r w:rsidRPr="00F12F90">
        <w:rPr>
          <w:rFonts w:eastAsia="Calibri"/>
          <w:lang w:val="ru-RU"/>
        </w:rPr>
        <w:t xml:space="preserve">, возможен также при кратковременном введении), асептический некроз костей, заболевания сухожилий, </w:t>
      </w:r>
      <w:proofErr w:type="spellStart"/>
      <w:r w:rsidRPr="00F12F90">
        <w:rPr>
          <w:rFonts w:eastAsia="Calibri"/>
          <w:lang w:val="ru-RU"/>
        </w:rPr>
        <w:t>тендинит</w:t>
      </w:r>
      <w:proofErr w:type="spellEnd"/>
      <w:r w:rsidRPr="00F12F90">
        <w:rPr>
          <w:rFonts w:eastAsia="Calibri"/>
          <w:lang w:val="ru-RU"/>
        </w:rPr>
        <w:t xml:space="preserve">, разрывы сухожилий, </w:t>
      </w:r>
      <w:proofErr w:type="spellStart"/>
      <w:r w:rsidRPr="00F12F90">
        <w:rPr>
          <w:rFonts w:eastAsia="Calibri"/>
          <w:lang w:val="ru-RU"/>
        </w:rPr>
        <w:t>эпидуральный</w:t>
      </w:r>
      <w:proofErr w:type="spellEnd"/>
      <w:r w:rsidRPr="00F12F90">
        <w:rPr>
          <w:rFonts w:eastAsia="Calibri"/>
          <w:lang w:val="ru-RU"/>
        </w:rPr>
        <w:t xml:space="preserve"> </w:t>
      </w:r>
      <w:proofErr w:type="spellStart"/>
      <w:r w:rsidRPr="00F12F90">
        <w:rPr>
          <w:rFonts w:eastAsia="Calibri"/>
          <w:lang w:val="ru-RU"/>
        </w:rPr>
        <w:t>липоматоз</w:t>
      </w:r>
      <w:proofErr w:type="spellEnd"/>
      <w:r w:rsidRPr="00F12F90">
        <w:rPr>
          <w:rFonts w:eastAsia="Calibri"/>
          <w:lang w:val="ru-RU"/>
        </w:rPr>
        <w:t>, угнетение роста у детей.</w:t>
      </w:r>
    </w:p>
    <w:p w14:paraId="1127F7A5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45543F6C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Нарушения со стороны репродуктивной системы и молочных желез</w:t>
      </w:r>
    </w:p>
    <w:p w14:paraId="4C11DAD7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Нарушения секреции половых гормонов (как следствие: нерегулярные менструации вплоть до аменореи, гирсутизм, импотенция).</w:t>
      </w:r>
    </w:p>
    <w:p w14:paraId="64054451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391ACBF1" w14:textId="77777777" w:rsidR="00830217" w:rsidRPr="00F12F90" w:rsidRDefault="00830217" w:rsidP="00830217">
      <w:pPr>
        <w:jc w:val="both"/>
        <w:rPr>
          <w:rFonts w:eastAsia="Calibri"/>
          <w:i/>
          <w:lang w:val="ru-RU"/>
        </w:rPr>
      </w:pPr>
      <w:r w:rsidRPr="00F12F90">
        <w:rPr>
          <w:rFonts w:eastAsia="Calibri"/>
          <w:i/>
          <w:lang w:val="ru-RU"/>
        </w:rPr>
        <w:t>Общие расстройства и реакции в месте введения</w:t>
      </w:r>
    </w:p>
    <w:p w14:paraId="540EA156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Медленное заживление ран.</w:t>
      </w:r>
    </w:p>
    <w:p w14:paraId="50503057" w14:textId="77777777" w:rsidR="00830217" w:rsidRPr="00F12F90" w:rsidRDefault="00830217" w:rsidP="00830217">
      <w:pPr>
        <w:jc w:val="both"/>
        <w:rPr>
          <w:rFonts w:eastAsia="Calibri"/>
          <w:sz w:val="16"/>
          <w:szCs w:val="16"/>
          <w:lang w:val="ru-RU"/>
        </w:rPr>
      </w:pPr>
    </w:p>
    <w:p w14:paraId="2F5B5A1D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i/>
          <w:lang w:val="ru-RU"/>
        </w:rPr>
        <w:t>Местное применение:</w:t>
      </w:r>
      <w:r w:rsidRPr="00F12F90">
        <w:rPr>
          <w:rFonts w:eastAsia="Calibri"/>
          <w:lang w:val="ru-RU"/>
        </w:rPr>
        <w:t xml:space="preserve"> возможны реакции местного раздражения и непереносимости</w:t>
      </w:r>
    </w:p>
    <w:p w14:paraId="5E9CE293" w14:textId="77777777" w:rsidR="00830217" w:rsidRPr="00F12F90" w:rsidRDefault="00830217" w:rsidP="00830217">
      <w:pPr>
        <w:jc w:val="both"/>
        <w:rPr>
          <w:rFonts w:eastAsia="Calibri"/>
          <w:lang w:val="ru-RU"/>
        </w:rPr>
      </w:pPr>
      <w:r w:rsidRPr="00F12F90">
        <w:rPr>
          <w:rFonts w:eastAsia="Calibri"/>
          <w:lang w:val="ru-RU"/>
        </w:rPr>
        <w:t>(ощущение жара, длительная боль), особенно, при применении в офтальмологии. Атрофия кожи и атрофия подкожной клетчатки в месте инъекции не могут быть исключены, если кортикостероиды не вводятся осторожно в полость сустава.</w:t>
      </w:r>
    </w:p>
    <w:p w14:paraId="09BA0FB4" w14:textId="77777777" w:rsidR="00DF36FA" w:rsidRPr="00F12F90" w:rsidRDefault="00DF36FA" w:rsidP="009E5DE0">
      <w:pPr>
        <w:pStyle w:val="aa"/>
        <w:ind w:left="0"/>
        <w:jc w:val="both"/>
        <w:rPr>
          <w:color w:val="000000"/>
          <w:lang w:val="ru-RU"/>
        </w:rPr>
      </w:pPr>
    </w:p>
    <w:p w14:paraId="57DB7702" w14:textId="7ABF5A2A" w:rsidR="00FB3ABE" w:rsidRPr="00F12F90" w:rsidRDefault="00FB3ABE" w:rsidP="00FB3ABE">
      <w:pPr>
        <w:pStyle w:val="ab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F90">
        <w:rPr>
          <w:rFonts w:ascii="Times New Roman" w:hAnsi="Times New Roman" w:cs="Times New Roman"/>
          <w:b/>
          <w:color w:val="000000"/>
          <w:sz w:val="24"/>
          <w:szCs w:val="24"/>
        </w:rPr>
        <w:t>Сообщение о подозреваемых нежелательных реакциях</w:t>
      </w:r>
      <w:r w:rsidR="00465460" w:rsidRPr="00F12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716191" w14:textId="77777777" w:rsidR="00FB3ABE" w:rsidRPr="00F12F90" w:rsidRDefault="00FB3ABE" w:rsidP="00FB3ABE">
      <w:pPr>
        <w:jc w:val="both"/>
        <w:rPr>
          <w:lang w:val="ru-RU"/>
        </w:rPr>
      </w:pPr>
      <w:r w:rsidRPr="00F12F90">
        <w:rPr>
          <w:lang w:val="ru-RU"/>
        </w:rPr>
        <w:t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</w:t>
      </w:r>
    </w:p>
    <w:p w14:paraId="2768549C" w14:textId="19F2F37F" w:rsidR="0092127A" w:rsidRPr="00F12F90" w:rsidRDefault="0092127A" w:rsidP="00FB3ABE">
      <w:pPr>
        <w:jc w:val="both"/>
        <w:rPr>
          <w:lang w:val="ru-RU"/>
        </w:rPr>
      </w:pPr>
      <w:r w:rsidRPr="00F12F90">
        <w:rPr>
          <w:lang w:val="ru-RU"/>
        </w:rPr>
        <w:t>РГП на ПХВ «Национальный Центр экспертизы лекарственных средств и медицинских изделий».</w:t>
      </w:r>
    </w:p>
    <w:p w14:paraId="1CDAE910" w14:textId="77777777" w:rsidR="0092127A" w:rsidRPr="00F12F90" w:rsidRDefault="0092127A" w:rsidP="0092127A">
      <w:pPr>
        <w:pStyle w:val="a4"/>
        <w:spacing w:before="0" w:beforeAutospacing="0" w:after="0" w:afterAutospacing="0"/>
        <w:jc w:val="both"/>
        <w:rPr>
          <w:lang w:val="ru-RU"/>
        </w:rPr>
      </w:pPr>
      <w:r w:rsidRPr="00F12F90">
        <w:rPr>
          <w:lang w:val="ru-RU"/>
        </w:rPr>
        <w:t>http://www.ndda.kz</w:t>
      </w:r>
    </w:p>
    <w:p w14:paraId="16C64D14" w14:textId="77777777" w:rsidR="00FB3ABE" w:rsidRPr="00F12F90" w:rsidRDefault="00FB3ABE" w:rsidP="004F20C1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0530141C" w14:textId="6CF00CF4" w:rsidR="006232D6" w:rsidRPr="00F12F90" w:rsidRDefault="006232D6" w:rsidP="004F20C1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4.9. Передозировка</w:t>
      </w:r>
    </w:p>
    <w:p w14:paraId="6537C2C5" w14:textId="4060D287" w:rsidR="00DE7162" w:rsidRPr="00F12F90" w:rsidRDefault="00650F18" w:rsidP="00650F18">
      <w:pPr>
        <w:jc w:val="both"/>
        <w:rPr>
          <w:lang w:val="ru-RU"/>
        </w:rPr>
      </w:pPr>
      <w:r w:rsidRPr="00F12F90">
        <w:rPr>
          <w:lang w:val="ru-RU"/>
        </w:rPr>
        <w:t xml:space="preserve">Существуют единичные сообщения о случаях острой передозировки или смерти из-за острой передозировки. Передозировка обычно проявляется только через несколько недель применения чрезмерных доз и может вызвать большинство из нежелательных </w:t>
      </w:r>
      <w:r w:rsidR="00E245A3" w:rsidRPr="00F12F90">
        <w:rPr>
          <w:lang w:val="ru-RU"/>
        </w:rPr>
        <w:t>реакций</w:t>
      </w:r>
      <w:r w:rsidRPr="00F12F90">
        <w:rPr>
          <w:lang w:val="ru-RU"/>
        </w:rPr>
        <w:t xml:space="preserve">, указанных в разделе </w:t>
      </w:r>
      <w:r w:rsidR="004179FE" w:rsidRPr="00F12F90">
        <w:rPr>
          <w:lang w:val="ru-RU"/>
        </w:rPr>
        <w:t>4.8</w:t>
      </w:r>
      <w:r w:rsidRPr="00F12F90">
        <w:rPr>
          <w:lang w:val="ru-RU"/>
        </w:rPr>
        <w:t xml:space="preserve">, прежде всего синдром </w:t>
      </w:r>
      <w:proofErr w:type="spellStart"/>
      <w:r w:rsidRPr="00F12F90">
        <w:rPr>
          <w:lang w:val="ru-RU"/>
        </w:rPr>
        <w:t>Кушинга</w:t>
      </w:r>
      <w:proofErr w:type="spellEnd"/>
      <w:r w:rsidRPr="00F12F90">
        <w:rPr>
          <w:lang w:val="ru-RU"/>
        </w:rPr>
        <w:t xml:space="preserve">. Известного специфического антидота нет. Лечение поддерживающее и симптоматическое. Гемодиализ неэффективен для ускорения выведения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из организма.</w:t>
      </w:r>
    </w:p>
    <w:p w14:paraId="234BBB2A" w14:textId="77777777" w:rsidR="004C1FFD" w:rsidRPr="00F12F90" w:rsidRDefault="004C1FFD" w:rsidP="00C85E4E">
      <w:pPr>
        <w:jc w:val="both"/>
        <w:rPr>
          <w:lang w:val="ru-RU"/>
        </w:rPr>
      </w:pPr>
    </w:p>
    <w:p w14:paraId="2B580556" w14:textId="77777777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5. ФАРМАКОЛОГИЧЕСКИЕ СВОЙСТВА</w:t>
      </w:r>
    </w:p>
    <w:p w14:paraId="3DF534F6" w14:textId="0E4A3829" w:rsidR="00546D1B" w:rsidRPr="00F12F90" w:rsidRDefault="00546D1B" w:rsidP="00546D1B">
      <w:pPr>
        <w:pStyle w:val="a4"/>
        <w:spacing w:before="0" w:beforeAutospacing="0" w:after="0" w:afterAutospacing="0"/>
        <w:jc w:val="both"/>
        <w:rPr>
          <w:lang w:val="ru-RU"/>
        </w:rPr>
      </w:pPr>
      <w:r w:rsidRPr="00F12F90">
        <w:rPr>
          <w:b/>
          <w:lang w:val="ru-RU"/>
        </w:rPr>
        <w:t>5.1. Фармакодинамические свойства</w:t>
      </w:r>
    </w:p>
    <w:p w14:paraId="74B761A6" w14:textId="5BFDC185" w:rsidR="002960EC" w:rsidRPr="00F12F90" w:rsidRDefault="00C93835" w:rsidP="002960EC">
      <w:pPr>
        <w:jc w:val="both"/>
        <w:rPr>
          <w:rFonts w:eastAsia="Calibri"/>
          <w:sz w:val="28"/>
          <w:szCs w:val="28"/>
          <w:lang w:val="ru-RU" w:eastAsia="en-US"/>
        </w:rPr>
      </w:pPr>
      <w:r w:rsidRPr="00F12F90">
        <w:rPr>
          <w:b/>
          <w:lang w:val="ru-RU"/>
        </w:rPr>
        <w:t>Фармакотерапевтическая группа</w:t>
      </w:r>
      <w:r w:rsidR="00EB1E31" w:rsidRPr="00F12F90">
        <w:rPr>
          <w:b/>
          <w:lang w:val="ru-RU"/>
        </w:rPr>
        <w:t xml:space="preserve">: </w:t>
      </w:r>
      <w:r w:rsidR="002960EC" w:rsidRPr="00F12F90">
        <w:rPr>
          <w:lang w:val="ru-RU"/>
        </w:rPr>
        <w:t xml:space="preserve">Кортикостероиды для системного использования. Кортикостероиды для системного применения, простые. </w:t>
      </w:r>
      <w:proofErr w:type="spellStart"/>
      <w:r w:rsidR="002960EC" w:rsidRPr="00F12F90">
        <w:rPr>
          <w:lang w:val="ru-RU"/>
        </w:rPr>
        <w:t>Глюкокорти</w:t>
      </w:r>
      <w:r w:rsidR="00EB1E31" w:rsidRPr="00F12F90">
        <w:rPr>
          <w:lang w:val="ru-RU"/>
        </w:rPr>
        <w:t>к</w:t>
      </w:r>
      <w:r w:rsidR="002960EC" w:rsidRPr="00F12F90">
        <w:rPr>
          <w:lang w:val="ru-RU"/>
        </w:rPr>
        <w:t>оиды</w:t>
      </w:r>
      <w:proofErr w:type="spellEnd"/>
      <w:r w:rsidR="002960EC" w:rsidRPr="00F12F90">
        <w:rPr>
          <w:lang w:val="ru-RU"/>
        </w:rPr>
        <w:t xml:space="preserve">. </w:t>
      </w:r>
      <w:proofErr w:type="spellStart"/>
      <w:r w:rsidR="002960EC" w:rsidRPr="00F12F90">
        <w:rPr>
          <w:lang w:val="ru-RU"/>
        </w:rPr>
        <w:t>Дексаметазон</w:t>
      </w:r>
      <w:proofErr w:type="spellEnd"/>
      <w:r w:rsidR="002960EC" w:rsidRPr="00F12F90">
        <w:rPr>
          <w:sz w:val="28"/>
          <w:szCs w:val="28"/>
          <w:lang w:val="ru-RU"/>
        </w:rPr>
        <w:t>.</w:t>
      </w:r>
    </w:p>
    <w:p w14:paraId="412D0A6B" w14:textId="1C770234" w:rsidR="001E4547" w:rsidRPr="00F12F90" w:rsidRDefault="001E4547" w:rsidP="00663379">
      <w:pPr>
        <w:pStyle w:val="210"/>
        <w:spacing w:line="240" w:lineRule="auto"/>
        <w:ind w:firstLine="0"/>
        <w:rPr>
          <w:szCs w:val="24"/>
        </w:rPr>
      </w:pPr>
      <w:r w:rsidRPr="00F12F90">
        <w:rPr>
          <w:color w:val="000000"/>
          <w:szCs w:val="24"/>
        </w:rPr>
        <w:t xml:space="preserve">Код </w:t>
      </w:r>
      <w:r w:rsidRPr="00F12F90">
        <w:rPr>
          <w:szCs w:val="24"/>
        </w:rPr>
        <w:t>АТХ</w:t>
      </w:r>
      <w:r w:rsidR="00650F18" w:rsidRPr="00F12F90">
        <w:rPr>
          <w:color w:val="000000"/>
          <w:szCs w:val="24"/>
        </w:rPr>
        <w:t xml:space="preserve">: </w:t>
      </w:r>
      <w:r w:rsidR="00650F18" w:rsidRPr="00F12F90">
        <w:rPr>
          <w:szCs w:val="24"/>
        </w:rPr>
        <w:t>Н02А</w:t>
      </w:r>
      <w:r w:rsidRPr="00F12F90">
        <w:rPr>
          <w:szCs w:val="24"/>
        </w:rPr>
        <w:t>B02</w:t>
      </w:r>
    </w:p>
    <w:p w14:paraId="700F7362" w14:textId="6280D0DA" w:rsidR="005959AB" w:rsidRPr="00F12F90" w:rsidRDefault="0013635B" w:rsidP="00663379">
      <w:pPr>
        <w:jc w:val="both"/>
        <w:rPr>
          <w:lang w:val="ru-RU"/>
        </w:rPr>
      </w:pPr>
      <w:proofErr w:type="spellStart"/>
      <w:proofErr w:type="gramStart"/>
      <w:r w:rsidRPr="00F12F90">
        <w:rPr>
          <w:lang w:val="ru-RU"/>
        </w:rPr>
        <w:t>Дексаметазон</w:t>
      </w:r>
      <w:proofErr w:type="spellEnd"/>
      <w:r w:rsidRPr="00F12F90">
        <w:rPr>
          <w:lang w:val="ru-RU"/>
        </w:rPr>
        <w:t xml:space="preserve"> –</w:t>
      </w:r>
      <w:r w:rsidR="005959AB" w:rsidRPr="00F12F90">
        <w:rPr>
          <w:lang w:val="ru-RU"/>
        </w:rPr>
        <w:t xml:space="preserve"> </w:t>
      </w:r>
      <w:proofErr w:type="spellStart"/>
      <w:r w:rsidR="005959AB" w:rsidRPr="00F12F90">
        <w:rPr>
          <w:lang w:val="ru-RU"/>
        </w:rPr>
        <w:t>моно</w:t>
      </w:r>
      <w:r w:rsidRPr="00F12F90">
        <w:rPr>
          <w:lang w:val="ru-RU"/>
        </w:rPr>
        <w:t>фторированный</w:t>
      </w:r>
      <w:proofErr w:type="spell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глюкокортикостероид</w:t>
      </w:r>
      <w:proofErr w:type="spellEnd"/>
      <w:r w:rsidRPr="00F12F90">
        <w:rPr>
          <w:lang w:val="ru-RU"/>
        </w:rPr>
        <w:t xml:space="preserve">, </w:t>
      </w:r>
      <w:r w:rsidR="005959AB" w:rsidRPr="00F12F90">
        <w:rPr>
          <w:lang w:val="ru-RU"/>
        </w:rPr>
        <w:t xml:space="preserve">обладает выраженными противоаллергическими, </w:t>
      </w:r>
      <w:r w:rsidRPr="00F12F90">
        <w:rPr>
          <w:lang w:val="ru-RU"/>
        </w:rPr>
        <w:t>противовоспалительн</w:t>
      </w:r>
      <w:r w:rsidR="005959AB" w:rsidRPr="00F12F90">
        <w:rPr>
          <w:lang w:val="ru-RU"/>
        </w:rPr>
        <w:t xml:space="preserve">ыми и </w:t>
      </w:r>
      <w:proofErr w:type="spellStart"/>
      <w:r w:rsidR="005959AB" w:rsidRPr="00F12F90">
        <w:rPr>
          <w:lang w:val="ru-RU"/>
        </w:rPr>
        <w:t>мембраностабилизирующими</w:t>
      </w:r>
      <w:proofErr w:type="spellEnd"/>
      <w:r w:rsidR="005959AB" w:rsidRPr="00F12F90">
        <w:rPr>
          <w:lang w:val="ru-RU"/>
        </w:rPr>
        <w:t xml:space="preserve"> свойствами</w:t>
      </w:r>
      <w:r w:rsidR="00EB1E31" w:rsidRPr="00F12F90">
        <w:rPr>
          <w:lang w:val="ru-RU"/>
        </w:rPr>
        <w:t>,</w:t>
      </w:r>
      <w:r w:rsidR="005959AB" w:rsidRPr="00F12F90">
        <w:rPr>
          <w:lang w:val="ru-RU"/>
        </w:rPr>
        <w:t xml:space="preserve"> </w:t>
      </w:r>
      <w:r w:rsidR="00EB1E31" w:rsidRPr="00F12F90">
        <w:rPr>
          <w:lang w:val="ru-RU"/>
        </w:rPr>
        <w:t xml:space="preserve">оказывающий влияние </w:t>
      </w:r>
      <w:r w:rsidR="005959AB" w:rsidRPr="00F12F90">
        <w:rPr>
          <w:lang w:val="ru-RU"/>
        </w:rPr>
        <w:t xml:space="preserve">на углеводный, белковый и жировой обмен. </w:t>
      </w:r>
      <w:proofErr w:type="gramEnd"/>
    </w:p>
    <w:p w14:paraId="6FD10B65" w14:textId="77777777" w:rsidR="00EB1E31" w:rsidRPr="00F12F90" w:rsidRDefault="00EB1E31" w:rsidP="00EB1E31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Дексаметазон</w:t>
      </w:r>
      <w:proofErr w:type="spellEnd"/>
      <w:r w:rsidRPr="00F12F90">
        <w:rPr>
          <w:lang w:val="ru-RU"/>
        </w:rPr>
        <w:t xml:space="preserve"> обладает примерно в 7,5 раза большим глюкокортикоидным действием, по сравнению с преднизолоном и </w:t>
      </w:r>
      <w:proofErr w:type="spellStart"/>
      <w:r w:rsidRPr="00F12F90">
        <w:rPr>
          <w:lang w:val="ru-RU"/>
        </w:rPr>
        <w:t>преднизоном</w:t>
      </w:r>
      <w:proofErr w:type="spellEnd"/>
      <w:r w:rsidRPr="00F12F90">
        <w:rPr>
          <w:lang w:val="ru-RU"/>
        </w:rPr>
        <w:t>, а по эффективности превосходит гидрокортизон в 30 раз, не проявляя минералокортикоидных свойств.</w:t>
      </w:r>
    </w:p>
    <w:p w14:paraId="41AF1A1A" w14:textId="77777777" w:rsidR="00EB1E31" w:rsidRPr="00F12F90" w:rsidRDefault="00EB1E31" w:rsidP="00EB1E31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Глюкокортикостероиды</w:t>
      </w:r>
      <w:proofErr w:type="spellEnd"/>
      <w:r w:rsidRPr="00F12F90">
        <w:rPr>
          <w:lang w:val="ru-RU"/>
        </w:rPr>
        <w:t xml:space="preserve">, </w:t>
      </w:r>
      <w:proofErr w:type="gramStart"/>
      <w:r w:rsidRPr="00F12F90">
        <w:rPr>
          <w:lang w:val="ru-RU"/>
        </w:rPr>
        <w:t>такие</w:t>
      </w:r>
      <w:proofErr w:type="gramEnd"/>
      <w:r w:rsidRPr="00F12F90">
        <w:rPr>
          <w:lang w:val="ru-RU"/>
        </w:rPr>
        <w:t xml:space="preserve"> как </w:t>
      </w:r>
      <w:proofErr w:type="spellStart"/>
      <w:r w:rsidRPr="00F12F90">
        <w:rPr>
          <w:lang w:val="ru-RU"/>
        </w:rPr>
        <w:t>дексаметазон</w:t>
      </w:r>
      <w:proofErr w:type="spellEnd"/>
      <w:r w:rsidRPr="00F12F90">
        <w:rPr>
          <w:lang w:val="ru-RU"/>
        </w:rPr>
        <w:t xml:space="preserve">, оказывают свое биологическое действие, активируя транскрипцию генов, чувствительных к кортикостероидам. </w:t>
      </w:r>
      <w:proofErr w:type="gramStart"/>
      <w:r w:rsidRPr="00F12F90">
        <w:rPr>
          <w:lang w:val="ru-RU"/>
        </w:rPr>
        <w:t>Противовоспалительный</w:t>
      </w:r>
      <w:proofErr w:type="gramEnd"/>
      <w:r w:rsidRPr="00F12F90">
        <w:rPr>
          <w:lang w:val="ru-RU"/>
        </w:rPr>
        <w:t xml:space="preserve">, </w:t>
      </w:r>
      <w:proofErr w:type="spellStart"/>
      <w:r w:rsidRPr="00F12F90">
        <w:rPr>
          <w:lang w:val="ru-RU"/>
        </w:rPr>
        <w:t>иммуносупрессивный</w:t>
      </w:r>
      <w:proofErr w:type="spellEnd"/>
      <w:r w:rsidRPr="00F12F90">
        <w:rPr>
          <w:lang w:val="ru-RU"/>
        </w:rPr>
        <w:t xml:space="preserve"> и </w:t>
      </w:r>
      <w:proofErr w:type="spellStart"/>
      <w:r w:rsidRPr="00F12F90">
        <w:rPr>
          <w:lang w:val="ru-RU"/>
        </w:rPr>
        <w:t>антипролиферативный</w:t>
      </w:r>
      <w:proofErr w:type="spellEnd"/>
      <w:r w:rsidRPr="00F12F90">
        <w:rPr>
          <w:lang w:val="ru-RU"/>
        </w:rPr>
        <w:t xml:space="preserve"> эффекты обусловлены снижением образования, высвобождения и активности медиаторов воспаления, ингибированием специфических функций и миграцией воспалительных клеток. Кроме того, с помощью кортикостероидов можно предотвратить влияние сенсибилизированных Т-лимфоцитов и макрофагов на клетки-мишени. </w:t>
      </w:r>
    </w:p>
    <w:p w14:paraId="75892D63" w14:textId="77777777" w:rsidR="00EB1E31" w:rsidRPr="00F12F90" w:rsidRDefault="00EB1E31" w:rsidP="00EB1E31">
      <w:pPr>
        <w:jc w:val="both"/>
        <w:rPr>
          <w:lang w:val="ru-RU"/>
        </w:rPr>
      </w:pPr>
      <w:r w:rsidRPr="00F12F90">
        <w:rPr>
          <w:lang w:val="ru-RU"/>
        </w:rPr>
        <w:t>При необходимости длительной терапии кортикостероидами необходимо учитывать возможность индукции транзиторной надпочечниковой недостаточности. Подавление</w:t>
      </w:r>
    </w:p>
    <w:p w14:paraId="3418A1E0" w14:textId="77777777" w:rsidR="00EB1E31" w:rsidRPr="00F12F90" w:rsidRDefault="00EB1E31" w:rsidP="00EB1E31">
      <w:pPr>
        <w:jc w:val="both"/>
        <w:rPr>
          <w:lang w:val="ru-RU"/>
        </w:rPr>
      </w:pPr>
      <w:r w:rsidRPr="00F12F90">
        <w:rPr>
          <w:lang w:val="ru-RU"/>
        </w:rPr>
        <w:lastRenderedPageBreak/>
        <w:t>гипоталамо-гипофизарно-надпочечниковой оси также зависит от индивидуальных факторов.</w:t>
      </w:r>
    </w:p>
    <w:p w14:paraId="69E072A8" w14:textId="3006EF7C" w:rsidR="00FB7ED4" w:rsidRPr="00F12F90" w:rsidRDefault="00FB7ED4" w:rsidP="00EB1E31">
      <w:pPr>
        <w:jc w:val="both"/>
        <w:rPr>
          <w:i/>
          <w:lang w:val="ru-RU"/>
        </w:rPr>
      </w:pPr>
      <w:r w:rsidRPr="00F12F90">
        <w:rPr>
          <w:i/>
          <w:lang w:val="ru-RU"/>
        </w:rPr>
        <w:t xml:space="preserve">Лечение </w:t>
      </w:r>
      <w:r w:rsidR="00E8773F" w:rsidRPr="00F12F90">
        <w:rPr>
          <w:i/>
          <w:lang w:val="ru-RU"/>
        </w:rPr>
        <w:t>COVID-19</w:t>
      </w:r>
    </w:p>
    <w:p w14:paraId="3B8D286A" w14:textId="094A4697" w:rsidR="00FB7ED4" w:rsidRPr="00F12F90" w:rsidRDefault="00E8773F" w:rsidP="007239E6">
      <w:pPr>
        <w:jc w:val="both"/>
        <w:rPr>
          <w:lang w:val="ru-RU"/>
        </w:rPr>
      </w:pPr>
      <w:r w:rsidRPr="00F12F90">
        <w:rPr>
          <w:lang w:val="ru-RU"/>
        </w:rPr>
        <w:t xml:space="preserve">Исследование RECOVERY </w:t>
      </w:r>
      <w:r w:rsidR="00FB7ED4" w:rsidRPr="00F12F90">
        <w:rPr>
          <w:lang w:val="ru-RU"/>
        </w:rPr>
        <w:t>(</w:t>
      </w:r>
      <w:proofErr w:type="spellStart"/>
      <w:r w:rsidR="00FB7ED4" w:rsidRPr="00F12F90">
        <w:rPr>
          <w:lang w:val="ru-RU"/>
        </w:rPr>
        <w:t>Randomised</w:t>
      </w:r>
      <w:proofErr w:type="spellEnd"/>
      <w:r w:rsidR="00FB7ED4" w:rsidRPr="00F12F90">
        <w:rPr>
          <w:lang w:val="ru-RU"/>
        </w:rPr>
        <w:t xml:space="preserve"> </w:t>
      </w:r>
      <w:proofErr w:type="spellStart"/>
      <w:r w:rsidR="00FB7ED4" w:rsidRPr="00F12F90">
        <w:rPr>
          <w:lang w:val="ru-RU"/>
        </w:rPr>
        <w:t>Evaluation</w:t>
      </w:r>
      <w:proofErr w:type="spellEnd"/>
      <w:r w:rsidR="00FB7ED4" w:rsidRPr="00F12F90">
        <w:rPr>
          <w:lang w:val="ru-RU"/>
        </w:rPr>
        <w:t xml:space="preserve"> </w:t>
      </w:r>
      <w:proofErr w:type="spellStart"/>
      <w:r w:rsidR="00FB7ED4" w:rsidRPr="00F12F90">
        <w:rPr>
          <w:lang w:val="ru-RU"/>
        </w:rPr>
        <w:t>of</w:t>
      </w:r>
      <w:proofErr w:type="spellEnd"/>
      <w:r w:rsidR="00FB7ED4" w:rsidRPr="00F12F90">
        <w:rPr>
          <w:lang w:val="ru-RU"/>
        </w:rPr>
        <w:t xml:space="preserve"> Covid-19 </w:t>
      </w:r>
      <w:proofErr w:type="spellStart"/>
      <w:r w:rsidR="00FB7ED4" w:rsidRPr="00F12F90">
        <w:rPr>
          <w:lang w:val="ru-RU"/>
        </w:rPr>
        <w:t>Therapy</w:t>
      </w:r>
      <w:proofErr w:type="spellEnd"/>
      <w:r w:rsidR="00FB7ED4" w:rsidRPr="00F12F90">
        <w:rPr>
          <w:lang w:val="ru-RU"/>
        </w:rPr>
        <w:t>)</w:t>
      </w:r>
      <w:r w:rsidRPr="00F12F90">
        <w:rPr>
          <w:lang w:val="ru-RU"/>
        </w:rPr>
        <w:t xml:space="preserve"> — это индивидуально </w:t>
      </w:r>
      <w:proofErr w:type="spellStart"/>
      <w:r w:rsidRPr="00F12F90">
        <w:rPr>
          <w:lang w:val="ru-RU"/>
        </w:rPr>
        <w:t>рандомизированное</w:t>
      </w:r>
      <w:proofErr w:type="spellEnd"/>
      <w:r w:rsidRPr="00F12F90">
        <w:rPr>
          <w:lang w:val="ru-RU"/>
        </w:rPr>
        <w:t xml:space="preserve">, контролируемое, открытое исследование с адаптивной платформой, инициированное исследованием для оценки влияния </w:t>
      </w:r>
      <w:r w:rsidR="00FB7ED4" w:rsidRPr="00F12F90">
        <w:rPr>
          <w:lang w:val="ru-RU"/>
        </w:rPr>
        <w:t>потенциальных</w:t>
      </w:r>
      <w:r w:rsidRPr="00F12F90">
        <w:rPr>
          <w:lang w:val="ru-RU"/>
        </w:rPr>
        <w:t xml:space="preserve"> методов лечения на пациентов, </w:t>
      </w:r>
      <w:r w:rsidR="00FB7ED4" w:rsidRPr="00F12F90">
        <w:rPr>
          <w:lang w:val="ru-RU"/>
        </w:rPr>
        <w:t>госпитализированных с COVID-19.</w:t>
      </w:r>
    </w:p>
    <w:p w14:paraId="1012AC4E" w14:textId="77777777" w:rsidR="00FB7ED4" w:rsidRPr="00F12F90" w:rsidRDefault="00E8773F" w:rsidP="007239E6">
      <w:pPr>
        <w:jc w:val="both"/>
        <w:rPr>
          <w:lang w:val="ru-RU"/>
        </w:rPr>
      </w:pPr>
      <w:r w:rsidRPr="00F12F90">
        <w:rPr>
          <w:lang w:val="ru-RU"/>
        </w:rPr>
        <w:t>Исследование проводилось в 176 больницах Великобритании.</w:t>
      </w:r>
    </w:p>
    <w:p w14:paraId="6BB34EF0" w14:textId="3768E3C9" w:rsidR="00663379" w:rsidRPr="00F12F90" w:rsidRDefault="00E8773F" w:rsidP="007239E6">
      <w:pPr>
        <w:jc w:val="both"/>
        <w:rPr>
          <w:lang w:val="ru-RU"/>
        </w:rPr>
      </w:pPr>
      <w:r w:rsidRPr="00F12F90">
        <w:rPr>
          <w:lang w:val="ru-RU"/>
        </w:rPr>
        <w:t xml:space="preserve">6425 пациентов были </w:t>
      </w:r>
      <w:proofErr w:type="spellStart"/>
      <w:r w:rsidRPr="00F12F90">
        <w:rPr>
          <w:lang w:val="ru-RU"/>
        </w:rPr>
        <w:t>рандомизированы</w:t>
      </w:r>
      <w:proofErr w:type="spellEnd"/>
      <w:r w:rsidRPr="00F12F90">
        <w:rPr>
          <w:lang w:val="ru-RU"/>
        </w:rPr>
        <w:t xml:space="preserve"> для получения либо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(2104 пациента), либо обычной стандартной терапии (4321 пациент). Инфекция SARS-CoV-2 была подтверждена лабораторно у 89% пациентов.</w:t>
      </w:r>
    </w:p>
    <w:p w14:paraId="58E83111" w14:textId="47F976E9" w:rsidR="00663379" w:rsidRPr="00F12F90" w:rsidRDefault="00E8773F" w:rsidP="007239E6">
      <w:pPr>
        <w:jc w:val="both"/>
        <w:rPr>
          <w:lang w:val="ru-RU"/>
        </w:rPr>
      </w:pPr>
      <w:r w:rsidRPr="00F12F90">
        <w:rPr>
          <w:lang w:val="ru-RU"/>
        </w:rPr>
        <w:t xml:space="preserve">На момент рандомизации 16% пациентов уже получали инвазивную искусственную вентиляцию легких или экстракорпоральную мембранную </w:t>
      </w:r>
      <w:proofErr w:type="spellStart"/>
      <w:r w:rsidRPr="00F12F90">
        <w:rPr>
          <w:lang w:val="ru-RU"/>
        </w:rPr>
        <w:t>оксигенацию</w:t>
      </w:r>
      <w:proofErr w:type="spellEnd"/>
      <w:r w:rsidRPr="00F12F90">
        <w:rPr>
          <w:lang w:val="ru-RU"/>
        </w:rPr>
        <w:t xml:space="preserve">, 60% получали только кислород (с </w:t>
      </w:r>
      <w:proofErr w:type="spellStart"/>
      <w:r w:rsidRPr="00F12F90">
        <w:rPr>
          <w:lang w:val="ru-RU"/>
        </w:rPr>
        <w:t>неинвазивной</w:t>
      </w:r>
      <w:proofErr w:type="spellEnd"/>
      <w:r w:rsidRPr="00F12F90">
        <w:rPr>
          <w:lang w:val="ru-RU"/>
        </w:rPr>
        <w:t xml:space="preserve"> вентиляцией или</w:t>
      </w:r>
      <w:r w:rsidR="00FB7ED4" w:rsidRPr="00F12F90">
        <w:rPr>
          <w:lang w:val="ru-RU"/>
        </w:rPr>
        <w:t xml:space="preserve"> без нее), а</w:t>
      </w:r>
      <w:r w:rsidR="007239E6" w:rsidRPr="00F12F90">
        <w:rPr>
          <w:lang w:val="ru-RU"/>
        </w:rPr>
        <w:t xml:space="preserve"> 24% не получали респираторной поддержки.</w:t>
      </w:r>
    </w:p>
    <w:p w14:paraId="5EAF37F5" w14:textId="3E4FF8CE" w:rsidR="00663379" w:rsidRPr="00F12F90" w:rsidRDefault="00E8773F" w:rsidP="007239E6">
      <w:pPr>
        <w:jc w:val="both"/>
        <w:rPr>
          <w:lang w:val="ru-RU"/>
        </w:rPr>
      </w:pPr>
      <w:r w:rsidRPr="00F12F90">
        <w:rPr>
          <w:lang w:val="ru-RU"/>
        </w:rPr>
        <w:t xml:space="preserve">Средний возраст </w:t>
      </w:r>
      <w:r w:rsidR="007947D5" w:rsidRPr="00F12F90">
        <w:rPr>
          <w:lang w:val="ru-RU"/>
        </w:rPr>
        <w:t>паци</w:t>
      </w:r>
      <w:r w:rsidR="007239E6" w:rsidRPr="00F12F90">
        <w:rPr>
          <w:lang w:val="ru-RU"/>
        </w:rPr>
        <w:t>ентов</w:t>
      </w:r>
      <w:r w:rsidRPr="00F12F90">
        <w:rPr>
          <w:lang w:val="ru-RU"/>
        </w:rPr>
        <w:t xml:space="preserve"> составил 66,1±15,7 года. 36% пациентов были женского пола. У 24% пациентов в анамнезе был диабет, у 27% — </w:t>
      </w:r>
      <w:proofErr w:type="gramStart"/>
      <w:r w:rsidRPr="00F12F90">
        <w:rPr>
          <w:lang w:val="ru-RU"/>
        </w:rPr>
        <w:t>сердечно-сосудистые</w:t>
      </w:r>
      <w:proofErr w:type="gramEnd"/>
      <w:r w:rsidRPr="00F12F90">
        <w:rPr>
          <w:lang w:val="ru-RU"/>
        </w:rPr>
        <w:t xml:space="preserve"> заболевания и у 21% — хронические заболевания легких</w:t>
      </w:r>
      <w:r w:rsidR="00FB7ED4" w:rsidRPr="00F12F90">
        <w:rPr>
          <w:lang w:val="ru-RU"/>
        </w:rPr>
        <w:t>.</w:t>
      </w:r>
    </w:p>
    <w:p w14:paraId="4FA6D97E" w14:textId="77777777" w:rsidR="007239E6" w:rsidRPr="00F12F90" w:rsidRDefault="007239E6" w:rsidP="007239E6">
      <w:pPr>
        <w:jc w:val="both"/>
        <w:rPr>
          <w:i/>
          <w:lang w:val="ru-RU"/>
        </w:rPr>
      </w:pPr>
      <w:r w:rsidRPr="00F12F90">
        <w:rPr>
          <w:i/>
          <w:lang w:val="ru-RU"/>
        </w:rPr>
        <w:t xml:space="preserve">Первичная конечная точка </w:t>
      </w:r>
    </w:p>
    <w:p w14:paraId="256D0811" w14:textId="051A1988" w:rsidR="00663379" w:rsidRPr="00F12F90" w:rsidRDefault="007239E6" w:rsidP="007239E6">
      <w:pPr>
        <w:jc w:val="both"/>
        <w:rPr>
          <w:lang w:val="ru-RU"/>
        </w:rPr>
      </w:pPr>
      <w:r w:rsidRPr="00F12F90">
        <w:rPr>
          <w:lang w:val="ru-RU"/>
        </w:rPr>
        <w:t xml:space="preserve">Летальность на 28 сутки была значительно ниже в группе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, чем в группе обычного лечения, где летальность зарегистрирована у 482 из 2104 пациентов (22,9%) и у 1110 из 4321 пациентов (25,7%) соответственно (коэффициент частоты 0,83 95% доверительный интервал (ДИ), 0,75-0,93; Р&lt;0,001). В группе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частота летальных исходов среди пациентов была ниже, чем в группе обычного лечения, получающих инвазивную ИВЛ (29,3% против 41,4%; коэффициент ч</w:t>
      </w:r>
      <w:r w:rsidR="00E758E0" w:rsidRPr="00F12F90">
        <w:rPr>
          <w:lang w:val="ru-RU"/>
        </w:rPr>
        <w:t>астоты, 0,64; 95% ДИ, 0,51-0,81</w:t>
      </w:r>
      <w:r w:rsidRPr="00F12F90">
        <w:rPr>
          <w:lang w:val="ru-RU"/>
        </w:rPr>
        <w:t xml:space="preserve">) и у тех, кто получает дополнительный кислород без инвазивной ИВЛ (23,3% против 26,2%; коэффициент частоты 0,82; 95% ДИ от 0,72-0,94). Не было четкого эффекта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среди пациентов, не получавших методов респираторной поддержки при рандомизации (17,8% против 14,0%; коэффициент частоты, 1,19; 95% ДИ, 0,91-1,55).</w:t>
      </w:r>
    </w:p>
    <w:p w14:paraId="6D307456" w14:textId="77777777" w:rsidR="007239E6" w:rsidRPr="00F12F90" w:rsidRDefault="007239E6" w:rsidP="007239E6">
      <w:pPr>
        <w:jc w:val="both"/>
        <w:rPr>
          <w:i/>
          <w:lang w:val="ru-RU"/>
        </w:rPr>
      </w:pPr>
      <w:r w:rsidRPr="00F12F90">
        <w:rPr>
          <w:i/>
          <w:lang w:val="ru-RU"/>
        </w:rPr>
        <w:t>Вторичная конечная точка.</w:t>
      </w:r>
    </w:p>
    <w:p w14:paraId="1DD94801" w14:textId="76EC0B0A" w:rsidR="007239E6" w:rsidRPr="00F12F90" w:rsidRDefault="007239E6" w:rsidP="007239E6">
      <w:pPr>
        <w:jc w:val="both"/>
        <w:rPr>
          <w:lang w:val="ru-RU"/>
        </w:rPr>
      </w:pPr>
      <w:r w:rsidRPr="00F12F90">
        <w:rPr>
          <w:lang w:val="ru-RU"/>
        </w:rPr>
        <w:t xml:space="preserve">У пациентов группы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продолжительность госпитализации была меньше, чем в группе обычного лечения (медиана, 12 дней против 13 дней) и больше вероятность выписки из больницы в течение 28 дней (коэффициент частоты, 1,10; 95% ДИ, 1,03-1, 17). </w:t>
      </w:r>
      <w:proofErr w:type="gramStart"/>
      <w:r w:rsidRPr="00F12F90">
        <w:rPr>
          <w:lang w:val="ru-RU"/>
        </w:rPr>
        <w:t>Согласно первичной конечной точке, наибольший эффект по сокращению продолжительности госпитализации до 28 дней наблюдался среди пациентов, получавших инвазивную ИВЛ при рандомизации (коэффициент частоты 1,48; 95% ДИ 1,16, 1,90), следующий – среди пациентов, которые получали только кислород (коэффициент частоты, 1,15; 95% ДИ 1,06-1,24) и без благоприятного эффекта у пациентов, не получающих кислород (коэффициент нормы 0,96;</w:t>
      </w:r>
      <w:proofErr w:type="gramEnd"/>
      <w:r w:rsidRPr="00F12F90">
        <w:rPr>
          <w:lang w:val="ru-RU"/>
        </w:rPr>
        <w:t xml:space="preserve"> 95% ДИ 0,85-1,08</w:t>
      </w:r>
      <w:proofErr w:type="gramStart"/>
      <w:r w:rsidRPr="00F12F90">
        <w:rPr>
          <w:lang w:val="ru-RU"/>
        </w:rPr>
        <w:t xml:space="preserve"> )</w:t>
      </w:r>
      <w:proofErr w:type="gramEnd"/>
      <w:r w:rsidRPr="00F12F90">
        <w:rPr>
          <w:lang w:val="ru-RU"/>
        </w:rPr>
        <w:t>.</w:t>
      </w:r>
    </w:p>
    <w:p w14:paraId="3CDF62D2" w14:textId="77777777" w:rsidR="00894556" w:rsidRPr="00F12F90" w:rsidRDefault="00894556" w:rsidP="007239E6">
      <w:pPr>
        <w:jc w:val="both"/>
        <w:rPr>
          <w:lang w:val="ru-RU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1937"/>
        <w:gridCol w:w="2015"/>
        <w:gridCol w:w="1728"/>
      </w:tblGrid>
      <w:tr w:rsidR="009C2836" w:rsidRPr="00F12F90" w14:paraId="632BB6FD" w14:textId="77777777" w:rsidTr="00C85E4E">
        <w:trPr>
          <w:trHeight w:val="249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78077" w14:textId="77777777" w:rsidR="009C2836" w:rsidRPr="00F12F90" w:rsidRDefault="009C2836" w:rsidP="00894556">
            <w:pPr>
              <w:autoSpaceDE w:val="0"/>
              <w:ind w:left="160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Verdana"/>
                <w:lang w:val="ru-RU" w:eastAsia="ru-RU"/>
              </w:rPr>
              <w:t>Результат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3AE9" w14:textId="77777777" w:rsidR="009C2836" w:rsidRPr="00F12F90" w:rsidRDefault="009C2836" w:rsidP="00894556">
            <w:pPr>
              <w:autoSpaceDE w:val="0"/>
              <w:ind w:left="84" w:right="65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F12F90">
              <w:rPr>
                <w:rFonts w:eastAsia="Verdana"/>
                <w:lang w:val="ru-RU" w:eastAsia="ru-RU"/>
              </w:rPr>
              <w:t>Дексаметазон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8C2C8" w14:textId="61CDDCFB" w:rsidR="009C2836" w:rsidRPr="00F12F90" w:rsidRDefault="009C2836" w:rsidP="00894556">
            <w:pPr>
              <w:autoSpaceDE w:val="0"/>
              <w:ind w:left="84" w:right="59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iCs/>
                <w:lang w:val="ru-RU"/>
              </w:rPr>
              <w:t>Обычное лечение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526BB" w14:textId="7BE3D9EC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iCs/>
                <w:lang w:val="ru-RU"/>
              </w:rPr>
              <w:t>Коэффициент частоты риска</w:t>
            </w:r>
            <w:r w:rsidRPr="00F12F90">
              <w:rPr>
                <w:rFonts w:eastAsia="Times New Roman"/>
                <w:iCs/>
                <w:vertAlign w:val="superscript"/>
                <w:lang w:val="ru-RU"/>
              </w:rPr>
              <w:t>*</w:t>
            </w:r>
          </w:p>
        </w:tc>
      </w:tr>
      <w:tr w:rsidR="009C2836" w:rsidRPr="00F12F90" w14:paraId="6C2242BF" w14:textId="77777777" w:rsidTr="00C85E4E">
        <w:trPr>
          <w:trHeight w:val="254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E6B2" w14:textId="77777777" w:rsidR="009C2836" w:rsidRPr="00F12F90" w:rsidRDefault="009C2836" w:rsidP="0089455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A0BE2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Verdana"/>
                <w:lang w:val="ru-RU" w:eastAsia="ru-RU"/>
              </w:rPr>
              <w:t>(N = 2104)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6D967" w14:textId="77777777" w:rsidR="009C2836" w:rsidRPr="00F12F90" w:rsidRDefault="009C2836" w:rsidP="00894556">
            <w:pPr>
              <w:autoSpaceDE w:val="0"/>
              <w:ind w:left="52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Verdana"/>
                <w:lang w:val="ru-RU" w:eastAsia="ru-RU"/>
              </w:rPr>
              <w:t>(N = 4321)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F51D0" w14:textId="5DA9220A" w:rsidR="009C2836" w:rsidRPr="00F12F90" w:rsidRDefault="009C2836" w:rsidP="00894556">
            <w:pPr>
              <w:autoSpaceDE w:val="0"/>
              <w:ind w:left="67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Verdana"/>
                <w:lang w:val="ru-RU" w:eastAsia="ru-RU"/>
              </w:rPr>
              <w:t xml:space="preserve">(95 % </w:t>
            </w:r>
            <w:r w:rsidRPr="00F12F90">
              <w:rPr>
                <w:rFonts w:eastAsia="Times New Roman"/>
                <w:iCs/>
                <w:lang w:val="ru-RU"/>
              </w:rPr>
              <w:t>ДИ</w:t>
            </w:r>
            <w:r w:rsidRPr="00F12F90">
              <w:rPr>
                <w:rFonts w:eastAsia="Verdana"/>
                <w:lang w:val="ru-RU" w:eastAsia="ru-RU"/>
              </w:rPr>
              <w:t>)</w:t>
            </w:r>
          </w:p>
        </w:tc>
      </w:tr>
      <w:tr w:rsidR="00894556" w:rsidRPr="00F12F90" w14:paraId="51D3CAC2" w14:textId="77777777" w:rsidTr="00C85E4E">
        <w:trPr>
          <w:trHeight w:val="307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77D57" w14:textId="77777777" w:rsidR="009C2836" w:rsidRPr="00F12F90" w:rsidRDefault="009C2836" w:rsidP="00894556">
            <w:pPr>
              <w:autoSpaceDE w:val="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05870" w14:textId="34E2019E" w:rsidR="009C2836" w:rsidRPr="00F12F90" w:rsidRDefault="009C2836" w:rsidP="00894556">
            <w:pPr>
              <w:autoSpaceDE w:val="0"/>
              <w:ind w:left="40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Количество/общее количество пациентов</w:t>
            </w:r>
            <w:proofErr w:type="gramStart"/>
            <w:r w:rsidRPr="00F12F90">
              <w:rPr>
                <w:rFonts w:eastAsia="Times New Roman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6E78" w14:textId="77777777" w:rsidR="009C2836" w:rsidRPr="00F12F90" w:rsidRDefault="009C2836" w:rsidP="0089455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9C2836" w:rsidRPr="00F12F90" w14:paraId="10AE749D" w14:textId="77777777" w:rsidTr="00C85E4E">
        <w:trPr>
          <w:trHeight w:val="274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65429" w14:textId="1396C076" w:rsidR="009C2836" w:rsidRPr="00F12F90" w:rsidRDefault="009C2836" w:rsidP="00894556">
            <w:pPr>
              <w:autoSpaceDE w:val="0"/>
              <w:ind w:left="133"/>
              <w:jc w:val="center"/>
              <w:rPr>
                <w:rFonts w:eastAsia="Times New Roman"/>
                <w:i/>
                <w:lang w:val="ru-RU"/>
              </w:rPr>
            </w:pPr>
            <w:r w:rsidRPr="00F12F90">
              <w:rPr>
                <w:rFonts w:eastAsia="Times New Roman"/>
                <w:i/>
                <w:lang w:val="ru-RU"/>
              </w:rPr>
              <w:t>Первичная конечная точка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78104" w14:textId="33B7E0A4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D1AF2" w14:textId="5E5425AF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F7AFF" w14:textId="6F145C60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9C2836" w:rsidRPr="00F12F90" w14:paraId="3F56CEAE" w14:textId="77777777" w:rsidTr="00C85E4E">
        <w:trPr>
          <w:trHeight w:val="254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C54C6" w14:textId="263CF66F" w:rsidR="009C2836" w:rsidRPr="00F12F90" w:rsidRDefault="009C2836" w:rsidP="00894556">
            <w:pPr>
              <w:autoSpaceDE w:val="0"/>
              <w:ind w:left="133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Летальность в период 28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EA13" w14:textId="3031D2F7" w:rsidR="009C2836" w:rsidRPr="00F12F90" w:rsidRDefault="003C726A" w:rsidP="00894556">
            <w:pPr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482/2104 (22,9)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B2F1" w14:textId="5D369D10" w:rsidR="009C2836" w:rsidRPr="00F12F90" w:rsidRDefault="003C726A" w:rsidP="00894556">
            <w:pPr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1110/4321 (25,7)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B1CD" w14:textId="7B28B7C5" w:rsidR="009C2836" w:rsidRPr="00F12F90" w:rsidRDefault="003C726A" w:rsidP="00894556">
            <w:pPr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0,83 (0,75-0,93)</w:t>
            </w:r>
          </w:p>
        </w:tc>
      </w:tr>
      <w:tr w:rsidR="009C2836" w:rsidRPr="00F12F90" w14:paraId="1EA15402" w14:textId="77777777" w:rsidTr="00C85E4E">
        <w:trPr>
          <w:trHeight w:val="234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AE73" w14:textId="545A1FB8" w:rsidR="009C2836" w:rsidRPr="00F12F90" w:rsidRDefault="009C2836" w:rsidP="00894556">
            <w:pPr>
              <w:autoSpaceDE w:val="0"/>
              <w:ind w:left="133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i/>
                <w:lang w:val="ru-RU"/>
              </w:rPr>
              <w:lastRenderedPageBreak/>
              <w:t>Вторичная конечная точка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1EF6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8B26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197B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9C2836" w:rsidRPr="00F12F90" w14:paraId="65C6C0F0" w14:textId="77777777" w:rsidTr="00C85E4E">
        <w:trPr>
          <w:trHeight w:val="26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09FC7" w14:textId="55560C1A" w:rsidR="009C2836" w:rsidRPr="00F12F90" w:rsidRDefault="009C2836" w:rsidP="00894556">
            <w:pPr>
              <w:autoSpaceDE w:val="0"/>
              <w:ind w:left="133"/>
              <w:jc w:val="center"/>
              <w:rPr>
                <w:rFonts w:eastAsia="Times New Roman"/>
                <w:lang w:val="ru-RU" w:eastAsia="ru-RU"/>
              </w:rPr>
            </w:pPr>
            <w:proofErr w:type="gramStart"/>
            <w:r w:rsidRPr="00F12F90">
              <w:rPr>
                <w:rFonts w:eastAsia="Times New Roman"/>
                <w:lang w:val="ru-RU" w:eastAsia="ru-RU"/>
              </w:rPr>
              <w:t>Выписан</w:t>
            </w:r>
            <w:proofErr w:type="gramEnd"/>
            <w:r w:rsidRPr="00F12F90">
              <w:rPr>
                <w:rFonts w:eastAsia="Times New Roman"/>
                <w:lang w:val="ru-RU" w:eastAsia="ru-RU"/>
              </w:rPr>
              <w:t xml:space="preserve"> из больницы в течение 28 дней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E60F9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1413/2104 (67,2)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AF577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2745/4321 (63,5)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7BB3C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1,10 (1,03-1,17)</w:t>
            </w:r>
          </w:p>
        </w:tc>
      </w:tr>
      <w:tr w:rsidR="009C2836" w:rsidRPr="00F12F90" w14:paraId="77AFB117" w14:textId="77777777" w:rsidTr="00C85E4E">
        <w:trPr>
          <w:trHeight w:val="24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4B6B8" w14:textId="0D4AE816" w:rsidR="009C2836" w:rsidRPr="00F12F90" w:rsidRDefault="009C2836" w:rsidP="00894556">
            <w:pPr>
              <w:autoSpaceDE w:val="0"/>
              <w:ind w:left="133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Инвазивная ИВЛ или летальный исход</w:t>
            </w:r>
            <w:r w:rsidRPr="00F12F90">
              <w:rPr>
                <w:rFonts w:eastAsia="Times New Roman"/>
                <w:shd w:val="clear" w:color="auto" w:fill="FFFFFF"/>
                <w:vertAlign w:val="superscript"/>
                <w:lang w:val="ru-RU" w:eastAsia="ru-RU"/>
              </w:rPr>
              <w:t>†</w:t>
            </w:r>
            <w:r w:rsidRPr="00F12F90">
              <w:rPr>
                <w:rFonts w:eastAsia="Times New Roman"/>
                <w:lang w:val="ru-RU" w:eastAsia="ru-RU"/>
              </w:rPr>
              <w:t>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26A2A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456/1780 (25,6)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FA55F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994/3638 (27,3)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81EBB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0,92 (0,84-1,01)</w:t>
            </w:r>
          </w:p>
        </w:tc>
      </w:tr>
      <w:tr w:rsidR="009C2836" w:rsidRPr="00F12F90" w14:paraId="6B3FF389" w14:textId="77777777" w:rsidTr="00C85E4E">
        <w:trPr>
          <w:trHeight w:val="254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9B24C" w14:textId="62CBB0BD" w:rsidR="009C2836" w:rsidRPr="00F12F90" w:rsidRDefault="009C2836" w:rsidP="00894556">
            <w:pPr>
              <w:numPr>
                <w:ilvl w:val="0"/>
                <w:numId w:val="11"/>
              </w:numPr>
              <w:autoSpaceDE w:val="0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инвазивная ИВЛ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9D9AA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102/1780 (5,7)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0103F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285/3638 (7,8)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C1148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0,77 (0,62-0,95)</w:t>
            </w:r>
          </w:p>
        </w:tc>
      </w:tr>
      <w:tr w:rsidR="009C2836" w:rsidRPr="00F12F90" w14:paraId="34B0813A" w14:textId="77777777" w:rsidTr="00C85E4E">
        <w:trPr>
          <w:trHeight w:val="332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EBCB1" w14:textId="2A49135D" w:rsidR="009C2836" w:rsidRPr="00F12F90" w:rsidRDefault="009C2836" w:rsidP="00894556">
            <w:pPr>
              <w:numPr>
                <w:ilvl w:val="0"/>
                <w:numId w:val="11"/>
              </w:numPr>
              <w:autoSpaceDE w:val="0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летальный исход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997C3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387/1780 (21,7)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FD5ED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827/3638 (22,7)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EC6E1" w14:textId="77777777" w:rsidR="009C2836" w:rsidRPr="00F12F90" w:rsidRDefault="009C2836" w:rsidP="00894556">
            <w:pPr>
              <w:autoSpaceDE w:val="0"/>
              <w:ind w:left="84"/>
              <w:jc w:val="center"/>
              <w:rPr>
                <w:rFonts w:eastAsia="Times New Roman"/>
                <w:lang w:val="ru-RU" w:eastAsia="ru-RU"/>
              </w:rPr>
            </w:pPr>
            <w:r w:rsidRPr="00F12F90">
              <w:rPr>
                <w:rFonts w:eastAsia="Times New Roman"/>
                <w:lang w:val="ru-RU" w:eastAsia="ru-RU"/>
              </w:rPr>
              <w:t>0,93 (0,84-1,03)</w:t>
            </w:r>
          </w:p>
        </w:tc>
      </w:tr>
    </w:tbl>
    <w:p w14:paraId="3BAC83C6" w14:textId="77777777" w:rsidR="0000238C" w:rsidRPr="00F12F90" w:rsidRDefault="0000238C" w:rsidP="00894556">
      <w:pPr>
        <w:jc w:val="both"/>
        <w:rPr>
          <w:lang w:val="ru-RU"/>
        </w:rPr>
      </w:pPr>
    </w:p>
    <w:p w14:paraId="31A3B9FA" w14:textId="67EC26A6" w:rsidR="00894556" w:rsidRPr="00F12F90" w:rsidRDefault="00894556" w:rsidP="00894556">
      <w:pPr>
        <w:jc w:val="both"/>
        <w:rPr>
          <w:lang w:val="ru-RU"/>
        </w:rPr>
      </w:pPr>
      <w:r w:rsidRPr="00F12F90">
        <w:rPr>
          <w:lang w:val="ru-RU"/>
        </w:rPr>
        <w:t xml:space="preserve">* Соотношение показателей было скорректировано для возраста с учетом результатов 28-дневной летальности и выписки из стационара. Соотношение рисков скорректировано с учетом возраста результата получения инвазивной ИВЛ или летального исхода и его составляющих; </w:t>
      </w:r>
    </w:p>
    <w:p w14:paraId="555230ED" w14:textId="16843B65" w:rsidR="00E758E0" w:rsidRPr="00F12F90" w:rsidRDefault="00894556" w:rsidP="00277528">
      <w:pPr>
        <w:jc w:val="both"/>
        <w:rPr>
          <w:i/>
          <w:lang w:val="ru-RU"/>
        </w:rPr>
      </w:pPr>
      <w:r w:rsidRPr="00F12F90">
        <w:rPr>
          <w:rFonts w:eastAsia="Times New Roman"/>
          <w:shd w:val="clear" w:color="auto" w:fill="FFFFFF"/>
          <w:vertAlign w:val="superscript"/>
          <w:lang w:val="ru-RU" w:eastAsia="ru-RU"/>
        </w:rPr>
        <w:t>†</w:t>
      </w:r>
      <w:r w:rsidRPr="00F12F90">
        <w:rPr>
          <w:lang w:val="ru-RU"/>
        </w:rPr>
        <w:t xml:space="preserve"> Из этой категории исключаются пациенты, получавшие инвазивную ИВЛ при рандомизации.</w:t>
      </w:r>
    </w:p>
    <w:p w14:paraId="42136D7C" w14:textId="77777777" w:rsidR="00277528" w:rsidRPr="00F12F90" w:rsidRDefault="00894556" w:rsidP="00277528">
      <w:pPr>
        <w:jc w:val="both"/>
        <w:rPr>
          <w:i/>
          <w:lang w:val="ru-RU"/>
        </w:rPr>
      </w:pPr>
      <w:r w:rsidRPr="00F12F90">
        <w:rPr>
          <w:i/>
          <w:lang w:val="ru-RU"/>
        </w:rPr>
        <w:t xml:space="preserve">Безопасность </w:t>
      </w:r>
    </w:p>
    <w:p w14:paraId="431D59D4" w14:textId="20BF0C42" w:rsidR="00906F58" w:rsidRPr="00F12F90" w:rsidRDefault="00894556" w:rsidP="00277528">
      <w:pPr>
        <w:jc w:val="both"/>
        <w:rPr>
          <w:lang w:val="ru-RU"/>
        </w:rPr>
      </w:pPr>
      <w:r w:rsidRPr="00F12F90">
        <w:rPr>
          <w:lang w:val="ru-RU"/>
        </w:rPr>
        <w:t xml:space="preserve">В ходе исследования было зафиксировано 4 серьезных </w:t>
      </w:r>
      <w:r w:rsidR="00277528" w:rsidRPr="00F12F90">
        <w:rPr>
          <w:lang w:val="ru-RU"/>
        </w:rPr>
        <w:t>нежелательных явления</w:t>
      </w:r>
      <w:r w:rsidRPr="00F12F90">
        <w:rPr>
          <w:lang w:val="ru-RU"/>
        </w:rPr>
        <w:t>, связанных с исследуемым лечением, а именно: 2 случая развития гипергликемии, 1 случай стероидного индуцированного психоза и 1 случай кровотечения верхних отделов желудочно-кишечного тракта. Все случаи урегулированы.</w:t>
      </w:r>
    </w:p>
    <w:p w14:paraId="73B72F39" w14:textId="4698A337" w:rsidR="00277528" w:rsidRPr="00F12F90" w:rsidRDefault="00277528" w:rsidP="00277528">
      <w:pPr>
        <w:rPr>
          <w:i/>
          <w:lang w:val="ru-RU"/>
        </w:rPr>
      </w:pPr>
      <w:r w:rsidRPr="00F12F90">
        <w:rPr>
          <w:i/>
          <w:lang w:val="ru-RU"/>
        </w:rPr>
        <w:t>Анализы подгрупп.</w:t>
      </w:r>
    </w:p>
    <w:p w14:paraId="58706BF4" w14:textId="79AB5B2B" w:rsidR="007239E6" w:rsidRPr="00F12F90" w:rsidRDefault="00277528" w:rsidP="00906F58">
      <w:pPr>
        <w:rPr>
          <w:i/>
          <w:lang w:val="ru-RU"/>
        </w:rPr>
      </w:pPr>
      <w:r w:rsidRPr="00F12F90">
        <w:rPr>
          <w:i/>
          <w:lang w:val="ru-RU"/>
        </w:rPr>
        <w:t xml:space="preserve">Эффекты назначения </w:t>
      </w:r>
      <w:proofErr w:type="spellStart"/>
      <w:r w:rsidRPr="00F12F90">
        <w:rPr>
          <w:i/>
          <w:lang w:val="ru-RU"/>
        </w:rPr>
        <w:t>дексаметазона</w:t>
      </w:r>
      <w:proofErr w:type="spellEnd"/>
      <w:r w:rsidRPr="00F12F90">
        <w:rPr>
          <w:i/>
          <w:lang w:val="ru-RU"/>
        </w:rPr>
        <w:t xml:space="preserve"> на 28-дневную смертность в зависимости от возраста и полученной </w:t>
      </w:r>
      <w:proofErr w:type="spellStart"/>
      <w:r w:rsidRPr="00F12F90">
        <w:rPr>
          <w:i/>
          <w:lang w:val="ru-RU"/>
        </w:rPr>
        <w:t>рандомизированной</w:t>
      </w:r>
      <w:proofErr w:type="spellEnd"/>
      <w:r w:rsidRPr="00F12F90">
        <w:rPr>
          <w:i/>
          <w:lang w:val="ru-RU"/>
        </w:rPr>
        <w:t xml:space="preserve"> респираторно</w:t>
      </w:r>
      <w:r w:rsidR="00F437CF" w:rsidRPr="00F12F90">
        <w:rPr>
          <w:i/>
          <w:lang w:val="ru-RU"/>
        </w:rPr>
        <w:t>й поддержки</w:t>
      </w:r>
      <w:proofErr w:type="gramStart"/>
      <w:r w:rsidR="00F437CF" w:rsidRPr="00F12F90">
        <w:rPr>
          <w:i/>
          <w:vertAlign w:val="superscript"/>
          <w:lang w:val="ru-RU"/>
        </w:rPr>
        <w:t>2</w:t>
      </w:r>
      <w:proofErr w:type="gramEnd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49"/>
        <w:gridCol w:w="1386"/>
        <w:gridCol w:w="1651"/>
        <w:gridCol w:w="63"/>
        <w:gridCol w:w="1267"/>
        <w:gridCol w:w="150"/>
        <w:gridCol w:w="1073"/>
        <w:gridCol w:w="1938"/>
      </w:tblGrid>
      <w:tr w:rsidR="00B35899" w:rsidRPr="00F12F90" w14:paraId="494AE66B" w14:textId="77777777" w:rsidTr="00C85E4E">
        <w:trPr>
          <w:trHeight w:val="45"/>
        </w:trPr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DDC732" w14:textId="67F719E8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Дексаметазон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2F92AB" w14:textId="6833D8EE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Стандартная терапия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1A8B3A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5C197E" w14:textId="01D9CE87" w:rsidR="00906F58" w:rsidRPr="00F12F90" w:rsidRDefault="00A13C1A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RR (95 % ДИ</w:t>
            </w:r>
            <w:r w:rsidR="00906F58"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)</w:t>
            </w:r>
          </w:p>
        </w:tc>
      </w:tr>
      <w:tr w:rsidR="00B47D0B" w:rsidRPr="00F12F90" w14:paraId="03C86487" w14:textId="77777777" w:rsidTr="00C85E4E">
        <w:trPr>
          <w:gridAfter w:val="3"/>
          <w:wAfter w:w="3161" w:type="dxa"/>
          <w:trHeight w:val="230"/>
        </w:trPr>
        <w:tc>
          <w:tcPr>
            <w:tcW w:w="1828" w:type="dxa"/>
            <w:gridSpan w:val="2"/>
            <w:vMerge w:val="restart"/>
            <w:shd w:val="clear" w:color="auto" w:fill="FFFFFF"/>
            <w:vAlign w:val="center"/>
            <w:hideMark/>
          </w:tcPr>
          <w:p w14:paraId="0E88F1D8" w14:textId="36B29DD2" w:rsidR="00A13C1A" w:rsidRPr="00F12F90" w:rsidRDefault="00A13C1A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Нет кислорода</w:t>
            </w:r>
          </w:p>
          <w:p w14:paraId="59766312" w14:textId="27E16FC0" w:rsidR="00A13C1A" w:rsidRPr="00F12F90" w:rsidRDefault="00A13C1A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(χ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18"/>
                      <w:szCs w:val="18"/>
                      <w:lang w:val="ru-RU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1</m:t>
                  </m:r>
                </m:den>
              </m:f>
            </m:oMath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=0,70; p=0,40) 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C9A41" w14:textId="77777777" w:rsidR="00A13C1A" w:rsidRPr="00F12F90" w:rsidRDefault="00A13C1A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CC67021" w14:textId="77777777" w:rsidR="00A13C1A" w:rsidRPr="00F12F90" w:rsidRDefault="00A13C1A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47D0B" w:rsidRPr="00F12F90" w14:paraId="2DF1EFEA" w14:textId="77777777" w:rsidTr="00C85E4E">
        <w:trPr>
          <w:gridAfter w:val="3"/>
          <w:wAfter w:w="3161" w:type="dxa"/>
          <w:trHeight w:val="458"/>
        </w:trPr>
        <w:tc>
          <w:tcPr>
            <w:tcW w:w="1828" w:type="dxa"/>
            <w:gridSpan w:val="2"/>
            <w:vMerge/>
            <w:vAlign w:val="center"/>
            <w:hideMark/>
          </w:tcPr>
          <w:p w14:paraId="39C54DE9" w14:textId="77777777" w:rsidR="00A13C1A" w:rsidRPr="00F12F90" w:rsidRDefault="00A13C1A" w:rsidP="00B400F2">
            <w:pPr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EE0F05" w14:textId="77777777" w:rsidR="00A13C1A" w:rsidRPr="00F12F90" w:rsidRDefault="00A13C1A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C3005F" w14:textId="77777777" w:rsidR="00A13C1A" w:rsidRPr="00F12F90" w:rsidRDefault="00A13C1A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35899" w:rsidRPr="00F12F90" w14:paraId="0ACD47CD" w14:textId="77777777" w:rsidTr="00C85E4E">
        <w:trPr>
          <w:trHeight w:val="221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358DAEB6" w14:textId="540BC184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="00176210" w:rsidRPr="00F12F90">
              <w:rPr>
                <w:rFonts w:eastAsia="Times New Roman"/>
                <w:sz w:val="18"/>
                <w:szCs w:val="18"/>
                <w:lang w:val="ru-RU" w:eastAsia="ru-RU"/>
              </w:rPr>
              <w:t>&lt;</w:t>
            </w: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177459A1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10/197 (5,1 %)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659F4356" w14:textId="01C1B0D0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18/462 (3,9 %)</w:t>
            </w:r>
          </w:p>
        </w:tc>
        <w:tc>
          <w:tcPr>
            <w:tcW w:w="2553" w:type="dxa"/>
            <w:gridSpan w:val="4"/>
            <w:vMerge w:val="restart"/>
            <w:shd w:val="clear" w:color="auto" w:fill="FFFFFF"/>
            <w:vAlign w:val="bottom"/>
            <w:hideMark/>
          </w:tcPr>
          <w:p w14:paraId="29E72FE2" w14:textId="090BE764" w:rsidR="00906F58" w:rsidRPr="00F12F90" w:rsidRDefault="00A13C1A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4CAAE10D" wp14:editId="6771EED0">
                  <wp:extent cx="1609725" cy="3657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30" cy="368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shd w:val="clear" w:color="auto" w:fill="FFFFFF"/>
            <w:hideMark/>
          </w:tcPr>
          <w:p w14:paraId="2524AB53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1,31 (0,60-2,83)</w:t>
            </w:r>
          </w:p>
        </w:tc>
      </w:tr>
      <w:tr w:rsidR="00B35899" w:rsidRPr="00F12F90" w14:paraId="3953F986" w14:textId="77777777" w:rsidTr="00C85E4E">
        <w:trPr>
          <w:trHeight w:val="230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0048433E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≥ 70 &lt; 80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6F4844BD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25/114 (21,9 %)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4281EEBD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35/224 (15,6 %)</w:t>
            </w:r>
          </w:p>
        </w:tc>
        <w:tc>
          <w:tcPr>
            <w:tcW w:w="2553" w:type="dxa"/>
            <w:gridSpan w:val="4"/>
            <w:vMerge/>
            <w:vAlign w:val="center"/>
            <w:hideMark/>
          </w:tcPr>
          <w:p w14:paraId="0DB09611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4A79AFA4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1,46 (0,88-2,45)</w:t>
            </w:r>
          </w:p>
        </w:tc>
      </w:tr>
      <w:tr w:rsidR="00B35899" w:rsidRPr="00F12F90" w14:paraId="4E6B7F61" w14:textId="77777777" w:rsidTr="00C85E4E">
        <w:trPr>
          <w:trHeight w:val="230"/>
        </w:trPr>
        <w:tc>
          <w:tcPr>
            <w:tcW w:w="1828" w:type="dxa"/>
            <w:gridSpan w:val="2"/>
            <w:shd w:val="clear" w:color="auto" w:fill="FFFFFF"/>
            <w:vAlign w:val="center"/>
          </w:tcPr>
          <w:p w14:paraId="2B834E43" w14:textId="77777777" w:rsidR="00A13C1A" w:rsidRPr="00F12F90" w:rsidRDefault="00A13C1A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14:paraId="675E1AEF" w14:textId="77777777" w:rsidR="00A13C1A" w:rsidRPr="00F12F90" w:rsidRDefault="00A13C1A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14:paraId="203C1E50" w14:textId="77777777" w:rsidR="00A13C1A" w:rsidRPr="00F12F90" w:rsidRDefault="00A13C1A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14:paraId="3D63B496" w14:textId="77777777" w:rsidR="00A13C1A" w:rsidRPr="00F12F90" w:rsidRDefault="00A13C1A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</w:tcPr>
          <w:p w14:paraId="3513A9F2" w14:textId="77777777" w:rsidR="00A13C1A" w:rsidRPr="00F12F90" w:rsidRDefault="00A13C1A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35899" w:rsidRPr="00F12F90" w14:paraId="457FF47C" w14:textId="77777777" w:rsidTr="00C85E4E">
        <w:trPr>
          <w:trHeight w:val="221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65986670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≥ 80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229ED1F2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54/190 (28,4 %)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41E90309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92/348 (26,4 %)</w:t>
            </w:r>
          </w:p>
        </w:tc>
        <w:tc>
          <w:tcPr>
            <w:tcW w:w="2553" w:type="dxa"/>
            <w:gridSpan w:val="4"/>
            <w:vMerge/>
            <w:vAlign w:val="center"/>
            <w:hideMark/>
          </w:tcPr>
          <w:p w14:paraId="23264D1C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0F68E0AD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1,06 (0,76-1,49)</w:t>
            </w:r>
          </w:p>
        </w:tc>
      </w:tr>
      <w:tr w:rsidR="00B35899" w:rsidRPr="00F12F90" w14:paraId="4DE6E7F2" w14:textId="77777777" w:rsidTr="00C85E4E">
        <w:trPr>
          <w:trHeight w:val="326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58D31642" w14:textId="1085236C" w:rsidR="00906F58" w:rsidRPr="00F12F90" w:rsidRDefault="00AE1695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Промежуточный итог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3509BA51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89/501 (17,8 %)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513D952F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145/1034 (14,0 %)</w:t>
            </w:r>
          </w:p>
        </w:tc>
        <w:tc>
          <w:tcPr>
            <w:tcW w:w="2553" w:type="dxa"/>
            <w:gridSpan w:val="4"/>
            <w:vMerge/>
            <w:vAlign w:val="center"/>
            <w:hideMark/>
          </w:tcPr>
          <w:p w14:paraId="42910B29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5165EAA0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1,19 (0,91-1,55)</w:t>
            </w:r>
          </w:p>
        </w:tc>
      </w:tr>
      <w:tr w:rsidR="00B35899" w:rsidRPr="00F12F90" w14:paraId="35FDC270" w14:textId="77777777" w:rsidTr="00C85E4E">
        <w:trPr>
          <w:trHeight w:val="124"/>
        </w:trPr>
        <w:tc>
          <w:tcPr>
            <w:tcW w:w="1679" w:type="dxa"/>
            <w:vMerge w:val="restart"/>
            <w:shd w:val="clear" w:color="auto" w:fill="FFFFFF"/>
            <w:vAlign w:val="center"/>
            <w:hideMark/>
          </w:tcPr>
          <w:p w14:paraId="1E21DC8C" w14:textId="23D65560" w:rsidR="00906F58" w:rsidRPr="00F12F90" w:rsidRDefault="00AE1695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Только кислород</w:t>
            </w:r>
          </w:p>
          <w:p w14:paraId="2E5D175E" w14:textId="22B13A21" w:rsidR="00AE1695" w:rsidRPr="00F12F90" w:rsidRDefault="00B400F2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(χ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18"/>
                      <w:szCs w:val="18"/>
                      <w:lang w:val="ru-RU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1</m:t>
                  </m:r>
                </m:den>
              </m:f>
            </m:oMath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= 2,54; p=0,11)</w:t>
            </w:r>
          </w:p>
        </w:tc>
        <w:tc>
          <w:tcPr>
            <w:tcW w:w="14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4562C91" w14:textId="378E6FCB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val="ru-RU" w:eastAsia="ru-RU"/>
              </w:rPr>
            </w:pPr>
          </w:p>
        </w:tc>
        <w:tc>
          <w:tcPr>
            <w:tcW w:w="3037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38F89217" w14:textId="603D173C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FFFF" w:themeColor="background1"/>
                <w:sz w:val="18"/>
                <w:szCs w:val="18"/>
                <w:lang w:val="ru-RU" w:eastAsia="ru-RU"/>
              </w:rPr>
            </w:pPr>
          </w:p>
        </w:tc>
        <w:tc>
          <w:tcPr>
            <w:tcW w:w="2553" w:type="dxa"/>
            <w:gridSpan w:val="4"/>
            <w:vMerge/>
            <w:vAlign w:val="center"/>
            <w:hideMark/>
          </w:tcPr>
          <w:p w14:paraId="330946E9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vMerge w:val="restart"/>
            <w:shd w:val="clear" w:color="auto" w:fill="FFFFFF"/>
          </w:tcPr>
          <w:p w14:paraId="05F22839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35899" w:rsidRPr="00F12F90" w14:paraId="02FF0B1E" w14:textId="77777777" w:rsidTr="00C85E4E">
        <w:trPr>
          <w:trHeight w:val="132"/>
        </w:trPr>
        <w:tc>
          <w:tcPr>
            <w:tcW w:w="1679" w:type="dxa"/>
            <w:vMerge/>
            <w:vAlign w:val="center"/>
            <w:hideMark/>
          </w:tcPr>
          <w:p w14:paraId="63191136" w14:textId="77777777" w:rsidR="00906F58" w:rsidRPr="00F12F90" w:rsidRDefault="00906F58" w:rsidP="00B400F2">
            <w:pPr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49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3B62C3E" w14:textId="4CEE21BE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FFFF" w:themeColor="background1"/>
                <w:sz w:val="18"/>
                <w:szCs w:val="18"/>
                <w:lang w:val="ru-RU" w:eastAsia="ru-RU"/>
              </w:rPr>
            </w:pPr>
          </w:p>
        </w:tc>
        <w:tc>
          <w:tcPr>
            <w:tcW w:w="3037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ECC2862" w14:textId="77777777" w:rsidR="00906F58" w:rsidRPr="00F12F90" w:rsidRDefault="00906F58" w:rsidP="00906F58">
            <w:pPr>
              <w:jc w:val="center"/>
              <w:rPr>
                <w:rFonts w:eastAsia="Times New Roman"/>
                <w:color w:val="FFFFFF" w:themeColor="background1"/>
                <w:sz w:val="18"/>
                <w:szCs w:val="18"/>
                <w:lang w:val="ru-RU"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35F39E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14:paraId="35CFE132" w14:textId="77777777" w:rsidR="00906F58" w:rsidRPr="00F12F90" w:rsidRDefault="00906F58" w:rsidP="00AE1695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35899" w:rsidRPr="00F12F90" w14:paraId="6B22FF34" w14:textId="77777777" w:rsidTr="00C85E4E">
        <w:trPr>
          <w:trHeight w:val="230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0D5A2A1C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&lt; 70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570E2E18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53/675 (7,9 %)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560B28DB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193/1473 (13,1 %)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2B471C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68539FB6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0,58 (0,43-0,78)</w:t>
            </w:r>
          </w:p>
        </w:tc>
      </w:tr>
      <w:tr w:rsidR="00B35899" w:rsidRPr="00F12F90" w14:paraId="681B13C5" w14:textId="77777777" w:rsidTr="00C85E4E">
        <w:trPr>
          <w:trHeight w:val="138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38A551EC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≥ 70 &lt; 80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39449118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104/306 (34,0 %)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167F0EB4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178/531 (33,5 %)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3BFB9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44BED5C1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0,98 (0,77-1,25)</w:t>
            </w:r>
          </w:p>
        </w:tc>
      </w:tr>
      <w:tr w:rsidR="00B35899" w:rsidRPr="00F12F90" w14:paraId="01703EBD" w14:textId="77777777" w:rsidTr="00C85E4E">
        <w:trPr>
          <w:trHeight w:val="38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71D2516B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≥ 80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2C8A6272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141/298 (47,3 %)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53EF6A88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311/600 (51,8 %)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D6C950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24F5B6BD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0,85 (0,70-1,04)</w:t>
            </w:r>
          </w:p>
        </w:tc>
      </w:tr>
      <w:tr w:rsidR="00B35899" w:rsidRPr="00F12F90" w14:paraId="3DB74577" w14:textId="77777777" w:rsidTr="00C85E4E">
        <w:trPr>
          <w:trHeight w:val="260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4A23967A" w14:textId="6D78B420" w:rsidR="00906F58" w:rsidRPr="00F12F90" w:rsidRDefault="00176210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Промежуточный итог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52509A8A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298/1279 (23,3 %)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79458BBA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682/2604 (26,2 %)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0E587A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4D652E8A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0,82 (0,72-0,94)</w:t>
            </w:r>
          </w:p>
        </w:tc>
      </w:tr>
      <w:tr w:rsidR="005269EE" w:rsidRPr="00F12F90" w14:paraId="478A7502" w14:textId="77777777" w:rsidTr="000574C0">
        <w:trPr>
          <w:trHeight w:val="70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2664EFCA" w14:textId="77777777" w:rsidR="005269EE" w:rsidRPr="00F12F90" w:rsidRDefault="005269EE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Механическая вентиляция</w:t>
            </w:r>
          </w:p>
          <w:p w14:paraId="3AF0BE32" w14:textId="094FD7DA" w:rsidR="005269EE" w:rsidRPr="00F12F90" w:rsidRDefault="005269EE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(χ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18"/>
                      <w:szCs w:val="18"/>
                      <w:lang w:val="ru-RU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1</m:t>
                  </m:r>
                </m:den>
              </m:f>
            </m:oMath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= 0,28; p=0,60)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</w:tcBorders>
            <w:shd w:val="clear" w:color="auto" w:fill="FFFFFF"/>
            <w:vAlign w:val="bottom"/>
            <w:hideMark/>
          </w:tcPr>
          <w:p w14:paraId="3D364DBE" w14:textId="30D13A98" w:rsidR="005269EE" w:rsidRPr="00F12F90" w:rsidRDefault="005269EE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5136E1" w14:textId="77777777" w:rsidR="005269EE" w:rsidRPr="00F12F90" w:rsidRDefault="005269EE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</w:tcPr>
          <w:p w14:paraId="31B3532B" w14:textId="77777777" w:rsidR="005269EE" w:rsidRPr="00F12F90" w:rsidRDefault="005269EE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35899" w:rsidRPr="00F12F90" w14:paraId="0B9EA406" w14:textId="77777777" w:rsidTr="00C85E4E">
        <w:trPr>
          <w:trHeight w:val="230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0AB2F27A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&lt; 70</w:t>
            </w:r>
          </w:p>
        </w:tc>
        <w:tc>
          <w:tcPr>
            <w:tcW w:w="1386" w:type="dxa"/>
            <w:shd w:val="clear" w:color="auto" w:fill="FFFFFF"/>
            <w:hideMark/>
          </w:tcPr>
          <w:p w14:paraId="0E0CD5EA" w14:textId="4ECF3D76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66/269 (24,5 %)</w:t>
            </w:r>
          </w:p>
        </w:tc>
        <w:tc>
          <w:tcPr>
            <w:tcW w:w="1651" w:type="dxa"/>
            <w:shd w:val="clear" w:color="auto" w:fill="FFFFFF"/>
            <w:hideMark/>
          </w:tcPr>
          <w:p w14:paraId="1D773033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217/569 (38,1 %)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80E53B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vAlign w:val="center"/>
            <w:hideMark/>
          </w:tcPr>
          <w:p w14:paraId="6BE6AD98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0,61 (0,46-0,81)</w:t>
            </w:r>
          </w:p>
        </w:tc>
      </w:tr>
      <w:tr w:rsidR="00B35899" w:rsidRPr="00F12F90" w14:paraId="0292FCB5" w14:textId="77777777" w:rsidTr="00C85E4E">
        <w:trPr>
          <w:trHeight w:val="230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60072650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≥ 70 &lt; 80</w:t>
            </w:r>
          </w:p>
        </w:tc>
        <w:tc>
          <w:tcPr>
            <w:tcW w:w="1386" w:type="dxa"/>
            <w:shd w:val="clear" w:color="auto" w:fill="FFFFFF"/>
            <w:hideMark/>
          </w:tcPr>
          <w:p w14:paraId="0D55A461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26/49 (53,1 %)</w:t>
            </w:r>
          </w:p>
        </w:tc>
        <w:tc>
          <w:tcPr>
            <w:tcW w:w="1651" w:type="dxa"/>
            <w:shd w:val="clear" w:color="auto" w:fill="FFFFFF"/>
            <w:hideMark/>
          </w:tcPr>
          <w:p w14:paraId="298FE47F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58/104 (55,8 %)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3DAC03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vAlign w:val="center"/>
            <w:hideMark/>
          </w:tcPr>
          <w:p w14:paraId="28FCBAB2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0,85 (0,53-1,34)</w:t>
            </w:r>
          </w:p>
        </w:tc>
      </w:tr>
      <w:tr w:rsidR="00B35899" w:rsidRPr="00F12F90" w14:paraId="0C8FF1CB" w14:textId="77777777" w:rsidTr="00C85E4E">
        <w:trPr>
          <w:trHeight w:val="230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5BF56E83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≥ 80</w:t>
            </w:r>
          </w:p>
        </w:tc>
        <w:tc>
          <w:tcPr>
            <w:tcW w:w="1386" w:type="dxa"/>
            <w:shd w:val="clear" w:color="auto" w:fill="FFFFFF"/>
            <w:vAlign w:val="center"/>
            <w:hideMark/>
          </w:tcPr>
          <w:p w14:paraId="719D91B9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3/6 (50,0 %)</w:t>
            </w:r>
          </w:p>
        </w:tc>
        <w:tc>
          <w:tcPr>
            <w:tcW w:w="1651" w:type="dxa"/>
            <w:shd w:val="clear" w:color="auto" w:fill="FFFFFF"/>
            <w:vAlign w:val="center"/>
            <w:hideMark/>
          </w:tcPr>
          <w:p w14:paraId="44EC59E5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8/10 (80,0 %)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41916A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vAlign w:val="center"/>
            <w:hideMark/>
          </w:tcPr>
          <w:p w14:paraId="00746694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0,39 (0,10-1,47)</w:t>
            </w:r>
          </w:p>
        </w:tc>
      </w:tr>
      <w:tr w:rsidR="00B35899" w:rsidRPr="00F12F90" w14:paraId="268938C0" w14:textId="77777777" w:rsidTr="00C85E4E">
        <w:trPr>
          <w:trHeight w:val="108"/>
        </w:trPr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14:paraId="093BAACE" w14:textId="28EBAB09" w:rsidR="00906F58" w:rsidRPr="00F12F90" w:rsidRDefault="00B47D0B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Промежуточный итог</w:t>
            </w:r>
          </w:p>
        </w:tc>
        <w:tc>
          <w:tcPr>
            <w:tcW w:w="1386" w:type="dxa"/>
            <w:shd w:val="clear" w:color="auto" w:fill="FFFFFF"/>
            <w:hideMark/>
          </w:tcPr>
          <w:p w14:paraId="51144656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sz w:val="18"/>
                <w:szCs w:val="18"/>
                <w:lang w:val="ru-RU" w:eastAsia="ru-RU"/>
              </w:rPr>
              <w:t>95/324 (29,3 %)</w:t>
            </w:r>
          </w:p>
        </w:tc>
        <w:tc>
          <w:tcPr>
            <w:tcW w:w="1651" w:type="dxa"/>
            <w:shd w:val="clear" w:color="auto" w:fill="FFFFFF"/>
            <w:hideMark/>
          </w:tcPr>
          <w:p w14:paraId="11DB3ADB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sz w:val="18"/>
                <w:szCs w:val="18"/>
                <w:lang w:val="ru-RU" w:eastAsia="ru-RU"/>
              </w:rPr>
              <w:t>283/683 (41,4 %)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6DAB0B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64478369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0,64 (0,51-0,81)</w:t>
            </w:r>
          </w:p>
        </w:tc>
      </w:tr>
      <w:tr w:rsidR="00B35899" w:rsidRPr="00F12F90" w14:paraId="034A0F68" w14:textId="77777777" w:rsidTr="00C85E4E">
        <w:trPr>
          <w:trHeight w:val="193"/>
        </w:trPr>
        <w:tc>
          <w:tcPr>
            <w:tcW w:w="1828" w:type="dxa"/>
            <w:gridSpan w:val="2"/>
            <w:shd w:val="clear" w:color="auto" w:fill="FFFFFF"/>
            <w:vAlign w:val="center"/>
          </w:tcPr>
          <w:p w14:paraId="7952DCE9" w14:textId="77777777" w:rsidR="00906F58" w:rsidRPr="00F12F90" w:rsidRDefault="00906F58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14:paraId="7AF1DB90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14:paraId="2B812C82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95412F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</w:tcPr>
          <w:p w14:paraId="19F26644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35899" w:rsidRPr="00F12F90" w14:paraId="3280F379" w14:textId="77777777" w:rsidTr="00C85E4E">
        <w:trPr>
          <w:trHeight w:val="957"/>
        </w:trPr>
        <w:tc>
          <w:tcPr>
            <w:tcW w:w="1828" w:type="dxa"/>
            <w:gridSpan w:val="2"/>
            <w:shd w:val="clear" w:color="auto" w:fill="FFFFFF"/>
            <w:hideMark/>
          </w:tcPr>
          <w:p w14:paraId="4B3DADF2" w14:textId="3EE16FEF" w:rsidR="00906F58" w:rsidRPr="00F12F90" w:rsidRDefault="00B47D0B" w:rsidP="00B400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Все участники</w:t>
            </w:r>
          </w:p>
        </w:tc>
        <w:tc>
          <w:tcPr>
            <w:tcW w:w="1386" w:type="dxa"/>
            <w:shd w:val="clear" w:color="auto" w:fill="FFFFFF"/>
            <w:hideMark/>
          </w:tcPr>
          <w:p w14:paraId="1846FA5B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482/2104 (22,9 %)</w:t>
            </w:r>
          </w:p>
        </w:tc>
        <w:tc>
          <w:tcPr>
            <w:tcW w:w="1651" w:type="dxa"/>
            <w:shd w:val="clear" w:color="auto" w:fill="FFFFFF"/>
            <w:hideMark/>
          </w:tcPr>
          <w:p w14:paraId="75FF2C94" w14:textId="77777777" w:rsidR="00906F58" w:rsidRPr="00F12F90" w:rsidRDefault="00906F58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1110/4321 (25,7 %)</w:t>
            </w:r>
          </w:p>
        </w:tc>
        <w:tc>
          <w:tcPr>
            <w:tcW w:w="2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5E1A75" w14:textId="77777777" w:rsidR="00906F58" w:rsidRPr="00F12F90" w:rsidRDefault="00906F58" w:rsidP="00906F58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38" w:type="dxa"/>
            <w:shd w:val="clear" w:color="auto" w:fill="FFFFFF"/>
            <w:hideMark/>
          </w:tcPr>
          <w:p w14:paraId="0A29DB8A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0,83 (0,75-0,93)</w:t>
            </w:r>
          </w:p>
          <w:p w14:paraId="02D7F93B" w14:textId="77777777" w:rsidR="00906F58" w:rsidRPr="00F12F90" w:rsidRDefault="00906F58" w:rsidP="00AE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р</w:t>
            </w:r>
            <w:proofErr w:type="gramEnd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&lt; 0,001</w:t>
            </w:r>
          </w:p>
        </w:tc>
      </w:tr>
      <w:tr w:rsidR="00B35899" w:rsidRPr="00F12F90" w14:paraId="740804B2" w14:textId="77777777" w:rsidTr="00C85E4E">
        <w:trPr>
          <w:trHeight w:val="80"/>
        </w:trPr>
        <w:tc>
          <w:tcPr>
            <w:tcW w:w="1828" w:type="dxa"/>
            <w:gridSpan w:val="2"/>
            <w:shd w:val="clear" w:color="auto" w:fill="FFFFFF"/>
            <w:vAlign w:val="bottom"/>
          </w:tcPr>
          <w:p w14:paraId="180934CA" w14:textId="77777777" w:rsidR="00B35899" w:rsidRPr="00F12F90" w:rsidRDefault="00B35899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86" w:type="dxa"/>
            <w:shd w:val="clear" w:color="auto" w:fill="FFFFFF"/>
            <w:vAlign w:val="bottom"/>
          </w:tcPr>
          <w:p w14:paraId="343AECF8" w14:textId="77777777" w:rsidR="00B35899" w:rsidRPr="00F12F90" w:rsidRDefault="00B35899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14" w:type="dxa"/>
            <w:gridSpan w:val="2"/>
            <w:shd w:val="clear" w:color="auto" w:fill="FFFFFF"/>
            <w:hideMark/>
          </w:tcPr>
          <w:p w14:paraId="1000AF83" w14:textId="218F2263" w:rsidR="00B35899" w:rsidRPr="00F12F90" w:rsidRDefault="00B35899" w:rsidP="00B4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0B2703AA" w14:textId="77777777" w:rsidR="00B35899" w:rsidRPr="00F12F90" w:rsidRDefault="00B35899" w:rsidP="00B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Дексаметазон</w:t>
            </w:r>
            <w:proofErr w:type="spellEnd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14:paraId="38C7CD65" w14:textId="72C4401C" w:rsidR="00B35899" w:rsidRPr="00F12F90" w:rsidRDefault="00B35899" w:rsidP="00B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лучше</w:t>
            </w:r>
          </w:p>
        </w:tc>
        <w:tc>
          <w:tcPr>
            <w:tcW w:w="1073" w:type="dxa"/>
            <w:shd w:val="clear" w:color="auto" w:fill="FFFFFF"/>
          </w:tcPr>
          <w:p w14:paraId="7E615019" w14:textId="4D7A97B6" w:rsidR="00B35899" w:rsidRPr="00F12F90" w:rsidRDefault="00B35899" w:rsidP="0090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Стандартная терапия лучше</w:t>
            </w:r>
          </w:p>
        </w:tc>
        <w:tc>
          <w:tcPr>
            <w:tcW w:w="1938" w:type="dxa"/>
            <w:shd w:val="clear" w:color="auto" w:fill="FFFFFF"/>
            <w:hideMark/>
          </w:tcPr>
          <w:p w14:paraId="39790D82" w14:textId="04FBDDDA" w:rsidR="00B35899" w:rsidRPr="00F12F90" w:rsidRDefault="00B35899" w:rsidP="00B4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14:paraId="1628C453" w14:textId="77777777" w:rsidR="007239E6" w:rsidRPr="00F12F90" w:rsidRDefault="007239E6" w:rsidP="0013635B">
      <w:pPr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  <w:lang w:val="ru-RU"/>
        </w:rPr>
      </w:pPr>
    </w:p>
    <w:p w14:paraId="35005CB9" w14:textId="053A1833" w:rsidR="007239E6" w:rsidRPr="00F12F90" w:rsidRDefault="007239E6" w:rsidP="0013635B">
      <w:pPr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  <w:lang w:val="ru-RU"/>
        </w:rPr>
      </w:pPr>
    </w:p>
    <w:p w14:paraId="0D8CD7D5" w14:textId="72291A91" w:rsidR="00663379" w:rsidRPr="00F12F90" w:rsidRDefault="00804174" w:rsidP="00804174">
      <w:pPr>
        <w:jc w:val="both"/>
        <w:rPr>
          <w:i/>
          <w:vertAlign w:val="superscript"/>
          <w:lang w:val="ru-RU"/>
        </w:rPr>
      </w:pPr>
      <w:r w:rsidRPr="00F12F90">
        <w:rPr>
          <w:i/>
          <w:lang w:val="ru-RU"/>
        </w:rPr>
        <w:t xml:space="preserve">Эффекты назначения </w:t>
      </w:r>
      <w:proofErr w:type="spellStart"/>
      <w:r w:rsidRPr="00F12F90">
        <w:rPr>
          <w:i/>
          <w:lang w:val="ru-RU"/>
        </w:rPr>
        <w:t>дексаметазона</w:t>
      </w:r>
      <w:proofErr w:type="spellEnd"/>
      <w:r w:rsidRPr="00F12F90">
        <w:rPr>
          <w:i/>
          <w:lang w:val="ru-RU"/>
        </w:rPr>
        <w:t xml:space="preserve"> на 28-дневную смертность в зависимости от способа поддержания дыхания, </w:t>
      </w:r>
      <w:proofErr w:type="gramStart"/>
      <w:r w:rsidRPr="00F12F90">
        <w:rPr>
          <w:i/>
          <w:lang w:val="ru-RU"/>
        </w:rPr>
        <w:t>полученных</w:t>
      </w:r>
      <w:proofErr w:type="gramEnd"/>
      <w:r w:rsidRPr="00F12F90">
        <w:rPr>
          <w:i/>
          <w:lang w:val="ru-RU"/>
        </w:rPr>
        <w:t xml:space="preserve"> при рандомизации, и при наличии </w:t>
      </w:r>
      <w:r w:rsidR="00F437CF" w:rsidRPr="00F12F90">
        <w:rPr>
          <w:i/>
          <w:lang w:val="ru-RU"/>
        </w:rPr>
        <w:t>любого хронического заболевания</w:t>
      </w:r>
      <w:r w:rsidR="00F437CF" w:rsidRPr="00F12F90">
        <w:rPr>
          <w:i/>
          <w:vertAlign w:val="superscript"/>
          <w:lang w:val="ru-RU"/>
        </w:rPr>
        <w:t>3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18"/>
        <w:gridCol w:w="609"/>
        <w:gridCol w:w="1448"/>
        <w:gridCol w:w="1443"/>
        <w:gridCol w:w="1701"/>
        <w:gridCol w:w="1489"/>
        <w:gridCol w:w="1063"/>
      </w:tblGrid>
      <w:tr w:rsidR="00084E2A" w:rsidRPr="00F12F90" w14:paraId="3B82FBBB" w14:textId="77777777" w:rsidTr="00C85E4E">
        <w:trPr>
          <w:trHeight w:val="45"/>
        </w:trPr>
        <w:tc>
          <w:tcPr>
            <w:tcW w:w="221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7D84C86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FFC79F6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Дексаметазон</w:t>
            </w:r>
            <w:proofErr w:type="spellEnd"/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38BB83D7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  <w:p w14:paraId="03DF9E93" w14:textId="02D80CA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Стандартная терапия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D31677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1119B63" w14:textId="2E2AB9BC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RR (95 % ДИ)</w:t>
            </w:r>
          </w:p>
        </w:tc>
      </w:tr>
      <w:tr w:rsidR="00084E2A" w:rsidRPr="00F12F90" w14:paraId="3D5E43D9" w14:textId="77777777" w:rsidTr="00C85E4E">
        <w:trPr>
          <w:trHeight w:val="517"/>
        </w:trPr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A7EC49D" w14:textId="77777777" w:rsidR="00084E2A" w:rsidRPr="00F12F90" w:rsidRDefault="00084E2A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Нет кислорода </w:t>
            </w:r>
          </w:p>
          <w:p w14:paraId="7B5E4D4F" w14:textId="0C496DD7" w:rsidR="00084E2A" w:rsidRPr="00F12F90" w:rsidRDefault="00084E2A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(χ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18"/>
                      <w:szCs w:val="18"/>
                      <w:lang w:val="ru-RU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1</m:t>
                  </m:r>
                </m:den>
              </m:f>
            </m:oMath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= 0.08; p=0.78) 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14:paraId="6BC8B8BF" w14:textId="3D4C8D2C" w:rsidR="00084E2A" w:rsidRPr="00F12F90" w:rsidRDefault="00084E2A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072B6BEE" wp14:editId="488171CC">
                  <wp:extent cx="1866756" cy="501967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482" cy="514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FFFFF"/>
          </w:tcPr>
          <w:p w14:paraId="0E646AB4" w14:textId="77777777" w:rsidR="00084E2A" w:rsidRPr="00F12F90" w:rsidRDefault="00084E2A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084E2A" w:rsidRPr="00F12F90" w14:paraId="4140DB18" w14:textId="77777777" w:rsidTr="00084E2A">
        <w:trPr>
          <w:trHeight w:val="237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094B69D5" w14:textId="69B6E107" w:rsidR="00F437CF" w:rsidRPr="00F12F90" w:rsidRDefault="00CE5718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Предыдущее заболевание</w:t>
            </w:r>
            <w:r w:rsidR="00F437CF"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2D27B937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65/313 (20,8 %)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67F94C98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100/598 (16,7 %)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61FC4659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650B0AA8" w14:textId="77777777" w:rsidR="00084E2A" w:rsidRPr="00F12F90" w:rsidRDefault="00084E2A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1,22</w:t>
            </w:r>
          </w:p>
          <w:p w14:paraId="2623AA16" w14:textId="73A4CA23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(0,89-1,66)</w:t>
            </w:r>
          </w:p>
        </w:tc>
      </w:tr>
      <w:tr w:rsidR="00084E2A" w:rsidRPr="00F12F90" w14:paraId="7188CF43" w14:textId="77777777" w:rsidTr="00084E2A">
        <w:trPr>
          <w:trHeight w:val="221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7021FE09" w14:textId="3B404B35" w:rsidR="00CE5718" w:rsidRPr="00F12F90" w:rsidRDefault="00F437CF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Без </w:t>
            </w:r>
            <w:r w:rsidR="00CE5718" w:rsidRPr="00F12F90">
              <w:rPr>
                <w:rFonts w:eastAsia="Times New Roman"/>
                <w:sz w:val="18"/>
                <w:szCs w:val="18"/>
                <w:lang w:val="ru-RU" w:eastAsia="ru-RU"/>
              </w:rPr>
              <w:t>предыдущего заболевания</w:t>
            </w:r>
          </w:p>
          <w:p w14:paraId="631B82B3" w14:textId="27E3C660" w:rsidR="00F437CF" w:rsidRPr="00F12F90" w:rsidRDefault="00F437CF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3171E85E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24/188 (12,8 %)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79EC21BB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45/436 (10,3 %)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72D6FCFD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1D529ADE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1,12 </w:t>
            </w:r>
          </w:p>
          <w:p w14:paraId="3CB47211" w14:textId="050C09E6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(0,68-1,83)</w:t>
            </w:r>
          </w:p>
        </w:tc>
      </w:tr>
      <w:tr w:rsidR="00084E2A" w:rsidRPr="00F12F90" w14:paraId="3B06CAD2" w14:textId="77777777" w:rsidTr="00084E2A">
        <w:trPr>
          <w:trHeight w:val="326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28843C6C" w14:textId="069224F3" w:rsidR="00F437CF" w:rsidRPr="00F12F90" w:rsidRDefault="00CE5718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Промежуточный итог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740EB11B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89/501 (17,8 %)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72AD49A6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145/1034 (14,0 %)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7CEF546C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39E46877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1,19 </w:t>
            </w:r>
          </w:p>
          <w:p w14:paraId="04869B77" w14:textId="0A8861A5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(0,91-1,55)</w:t>
            </w:r>
          </w:p>
        </w:tc>
      </w:tr>
      <w:tr w:rsidR="00084E2A" w:rsidRPr="00F12F90" w14:paraId="19D90E5B" w14:textId="77777777" w:rsidTr="00084E2A">
        <w:trPr>
          <w:trHeight w:val="124"/>
        </w:trPr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7788A69C" w14:textId="77777777" w:rsidR="00084E2A" w:rsidRPr="00F12F90" w:rsidRDefault="00CE5718" w:rsidP="001E333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Только кислород</w:t>
            </w:r>
          </w:p>
          <w:p w14:paraId="0E9FA2AC" w14:textId="749CA6EF" w:rsidR="00F437CF" w:rsidRPr="00F12F90" w:rsidRDefault="00CE5718" w:rsidP="001E333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="00084E2A"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(χ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18"/>
                      <w:szCs w:val="18"/>
                      <w:lang w:val="ru-RU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1</m:t>
                  </m:r>
                </m:den>
              </m:f>
            </m:oMath>
            <w:r w:rsidR="00084E2A"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= 2.05; p=0.15)</w:t>
            </w:r>
          </w:p>
        </w:tc>
        <w:tc>
          <w:tcPr>
            <w:tcW w:w="118" w:type="dxa"/>
            <w:shd w:val="clear" w:color="auto" w:fill="FFFFFF"/>
            <w:vAlign w:val="bottom"/>
            <w:hideMark/>
          </w:tcPr>
          <w:p w14:paraId="1D3065CC" w14:textId="7B2FB5D3" w:rsidR="00F437CF" w:rsidRPr="00F12F90" w:rsidRDefault="00F437CF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500" w:type="dxa"/>
            <w:gridSpan w:val="3"/>
            <w:vMerge w:val="restart"/>
            <w:shd w:val="clear" w:color="auto" w:fill="FFFFFF"/>
            <w:vAlign w:val="center"/>
            <w:hideMark/>
          </w:tcPr>
          <w:p w14:paraId="64BDF742" w14:textId="04457AF1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66C38900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14:paraId="766B9FA9" w14:textId="77777777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084E2A" w:rsidRPr="00F12F90" w14:paraId="235B3F1B" w14:textId="77777777" w:rsidTr="00084E2A">
        <w:trPr>
          <w:trHeight w:val="132"/>
        </w:trPr>
        <w:tc>
          <w:tcPr>
            <w:tcW w:w="1485" w:type="dxa"/>
            <w:vMerge/>
            <w:vAlign w:val="center"/>
            <w:hideMark/>
          </w:tcPr>
          <w:p w14:paraId="37088B8E" w14:textId="77777777" w:rsidR="00F437CF" w:rsidRPr="00F12F90" w:rsidRDefault="00F437CF" w:rsidP="00CE5718">
            <w:pPr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8" w:type="dxa"/>
            <w:shd w:val="clear" w:color="auto" w:fill="FFFFFF"/>
            <w:vAlign w:val="bottom"/>
            <w:hideMark/>
          </w:tcPr>
          <w:p w14:paraId="5DDE9FE6" w14:textId="705F5E5A" w:rsidR="00F437CF" w:rsidRPr="00F12F90" w:rsidRDefault="00F437CF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0" w:type="dxa"/>
            <w:gridSpan w:val="3"/>
            <w:vMerge/>
            <w:vAlign w:val="center"/>
            <w:hideMark/>
          </w:tcPr>
          <w:p w14:paraId="40A9282D" w14:textId="77777777" w:rsidR="00F437CF" w:rsidRPr="00F12F90" w:rsidRDefault="00F437CF" w:rsidP="00CE5718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34771639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579C544F" w14:textId="77777777" w:rsidR="00F437CF" w:rsidRPr="00F12F90" w:rsidRDefault="00F437CF" w:rsidP="00084E2A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084E2A" w:rsidRPr="00F12F90" w14:paraId="4F23BFE8" w14:textId="77777777" w:rsidTr="00084E2A">
        <w:trPr>
          <w:trHeight w:val="317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7E90B191" w14:textId="3081535A" w:rsidR="00F437CF" w:rsidRPr="00F12F90" w:rsidRDefault="001E3337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Предыдущее заболевание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0FF901D0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221/702 (31,5 %)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5EC73F09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481/1473 (32,7 %)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1CCA1822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2D16A433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0,88 </w:t>
            </w:r>
          </w:p>
          <w:p w14:paraId="100C9E5B" w14:textId="58A60747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(0,75-1,03)</w:t>
            </w:r>
          </w:p>
        </w:tc>
      </w:tr>
      <w:tr w:rsidR="00084E2A" w:rsidRPr="00F12F90" w14:paraId="4651310E" w14:textId="77777777" w:rsidTr="00084E2A">
        <w:trPr>
          <w:trHeight w:val="292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054A8400" w14:textId="77777777" w:rsidR="001E3337" w:rsidRPr="00F12F90" w:rsidRDefault="001E3337" w:rsidP="001E333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Без предыдущего заболевания</w:t>
            </w:r>
          </w:p>
          <w:p w14:paraId="14AC5686" w14:textId="4295BB98" w:rsidR="00F437CF" w:rsidRPr="00F12F90" w:rsidRDefault="00F437CF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32800B67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77/577 (13,3 %)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75423526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201/1131 (17,8 %)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07FDDEA1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747204F5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0,70 </w:t>
            </w:r>
          </w:p>
          <w:p w14:paraId="315288A7" w14:textId="553526DC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(0,54-0,91)</w:t>
            </w:r>
          </w:p>
        </w:tc>
      </w:tr>
      <w:tr w:rsidR="00084E2A" w:rsidRPr="00F12F90" w14:paraId="5BD7CC98" w14:textId="77777777" w:rsidTr="00084E2A">
        <w:trPr>
          <w:trHeight w:val="260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33D3BD61" w14:textId="0E8C5340" w:rsidR="00F437CF" w:rsidRPr="00F12F90" w:rsidRDefault="001E3337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Промежуточный итог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5D14FD2A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298/1279 (23,3 %)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094126AD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682/2604 (26,2 %)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23757C56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7320A980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sz w:val="18"/>
                <w:szCs w:val="18"/>
                <w:lang w:val="ru-RU" w:eastAsia="ru-RU"/>
              </w:rPr>
              <w:t xml:space="preserve">0,82 </w:t>
            </w:r>
          </w:p>
          <w:p w14:paraId="6D2FBFA3" w14:textId="47137CB3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sz w:val="18"/>
                <w:szCs w:val="18"/>
                <w:lang w:val="ru-RU" w:eastAsia="ru-RU"/>
              </w:rPr>
              <w:t>(0,72-0,94)</w:t>
            </w:r>
          </w:p>
        </w:tc>
      </w:tr>
      <w:tr w:rsidR="00084E2A" w:rsidRPr="00F12F90" w14:paraId="6BC75416" w14:textId="77777777" w:rsidTr="00084E2A">
        <w:trPr>
          <w:trHeight w:val="724"/>
        </w:trPr>
        <w:tc>
          <w:tcPr>
            <w:tcW w:w="5103" w:type="dxa"/>
            <w:gridSpan w:val="5"/>
            <w:shd w:val="clear" w:color="auto" w:fill="FFFFFF"/>
            <w:vAlign w:val="center"/>
            <w:hideMark/>
          </w:tcPr>
          <w:p w14:paraId="368B757E" w14:textId="77777777" w:rsidR="00084E2A" w:rsidRPr="00F12F90" w:rsidRDefault="00084E2A" w:rsidP="001E333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Механическая вентиляция</w:t>
            </w:r>
          </w:p>
          <w:p w14:paraId="6034EB59" w14:textId="1F2733FF" w:rsidR="00084E2A" w:rsidRPr="00F12F90" w:rsidRDefault="00084E2A" w:rsidP="001E33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(χ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18"/>
                      <w:szCs w:val="18"/>
                      <w:lang w:val="ru-RU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ru-RU" w:eastAsia="ru-RU"/>
                    </w:rPr>
                    <m:t>1</m:t>
                  </m:r>
                </m:den>
              </m:f>
            </m:oMath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== 1.52; p=0.22)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6935A6B2" w14:textId="77777777" w:rsidR="00084E2A" w:rsidRPr="00F12F90" w:rsidRDefault="00084E2A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</w:tcPr>
          <w:p w14:paraId="4A48F40C" w14:textId="77777777" w:rsidR="00084E2A" w:rsidRPr="00F12F90" w:rsidRDefault="00084E2A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084E2A" w:rsidRPr="00F12F90" w14:paraId="484F8333" w14:textId="77777777" w:rsidTr="00084E2A">
        <w:trPr>
          <w:trHeight w:val="230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3A90B041" w14:textId="418B788C" w:rsidR="00F437CF" w:rsidRPr="00F12F90" w:rsidRDefault="00833809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Предыдущее заболевание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5BC6741F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51/159 (32,1 %)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6761A02D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150/346 (43,4 %)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274AD32A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51A3B9C4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0,75 </w:t>
            </w:r>
          </w:p>
          <w:p w14:paraId="7C93AC8C" w14:textId="111A6CC6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(0,54-1,02)</w:t>
            </w:r>
          </w:p>
        </w:tc>
      </w:tr>
      <w:tr w:rsidR="00084E2A" w:rsidRPr="00F12F90" w14:paraId="61330F6A" w14:textId="77777777" w:rsidTr="00084E2A">
        <w:trPr>
          <w:trHeight w:val="230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34A1BA98" w14:textId="49572E48" w:rsidR="00F437CF" w:rsidRPr="00F12F90" w:rsidRDefault="00833809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Без предыдущего заболевания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3B8039A7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44/165 (26,7 %)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41308CBE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133/337 (39,5 %)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7E941D07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3DCB8FDE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0,56 </w:t>
            </w:r>
          </w:p>
          <w:p w14:paraId="132A84BD" w14:textId="455B0A5F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(0,40-0,78)</w:t>
            </w:r>
          </w:p>
        </w:tc>
      </w:tr>
      <w:tr w:rsidR="00084E2A" w:rsidRPr="00F12F90" w14:paraId="69D0CB9F" w14:textId="77777777" w:rsidTr="00084E2A">
        <w:trPr>
          <w:trHeight w:val="282"/>
        </w:trPr>
        <w:tc>
          <w:tcPr>
            <w:tcW w:w="2212" w:type="dxa"/>
            <w:gridSpan w:val="3"/>
            <w:shd w:val="clear" w:color="auto" w:fill="FFFFFF"/>
            <w:vAlign w:val="center"/>
            <w:hideMark/>
          </w:tcPr>
          <w:p w14:paraId="7EE33DA8" w14:textId="079053D8" w:rsidR="00F437CF" w:rsidRPr="00F12F90" w:rsidRDefault="00833809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Промежуточный итог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6EC1424D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95/324 (29,3 %)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14:paraId="07196FF3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283/683 (41,4 %)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75E86702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  <w:hideMark/>
          </w:tcPr>
          <w:p w14:paraId="50A9A65E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 xml:space="preserve">0,64 </w:t>
            </w:r>
          </w:p>
          <w:p w14:paraId="6FC4BE98" w14:textId="17604568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(0,51-0,81)</w:t>
            </w:r>
          </w:p>
        </w:tc>
      </w:tr>
      <w:tr w:rsidR="00084E2A" w:rsidRPr="00F12F90" w14:paraId="2FAF1711" w14:textId="77777777" w:rsidTr="00084E2A">
        <w:trPr>
          <w:trHeight w:val="193"/>
        </w:trPr>
        <w:tc>
          <w:tcPr>
            <w:tcW w:w="2212" w:type="dxa"/>
            <w:gridSpan w:val="3"/>
            <w:shd w:val="clear" w:color="auto" w:fill="FFFFFF"/>
            <w:vAlign w:val="center"/>
          </w:tcPr>
          <w:p w14:paraId="0A207D17" w14:textId="77777777" w:rsidR="00F437CF" w:rsidRPr="00F12F90" w:rsidRDefault="00F437CF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14:paraId="1B6B852B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06E083BD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6E2A9737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</w:tcPr>
          <w:p w14:paraId="72F8039A" w14:textId="77777777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084E2A" w:rsidRPr="00F12F90" w14:paraId="4B19ACCE" w14:textId="77777777" w:rsidTr="00084E2A">
        <w:trPr>
          <w:trHeight w:val="957"/>
        </w:trPr>
        <w:tc>
          <w:tcPr>
            <w:tcW w:w="2212" w:type="dxa"/>
            <w:gridSpan w:val="3"/>
            <w:shd w:val="clear" w:color="auto" w:fill="FFFFFF"/>
            <w:hideMark/>
          </w:tcPr>
          <w:p w14:paraId="6B14C535" w14:textId="7D101596" w:rsidR="00F437CF" w:rsidRPr="00F12F90" w:rsidRDefault="00833809" w:rsidP="00CE57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Все участники</w:t>
            </w:r>
          </w:p>
        </w:tc>
        <w:tc>
          <w:tcPr>
            <w:tcW w:w="1448" w:type="dxa"/>
            <w:shd w:val="clear" w:color="auto" w:fill="FFFFFF"/>
            <w:hideMark/>
          </w:tcPr>
          <w:p w14:paraId="16DE80E3" w14:textId="77777777" w:rsidR="00F437CF" w:rsidRPr="00F12F90" w:rsidRDefault="00F437CF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482/2104(22,9 %)</w:t>
            </w:r>
          </w:p>
        </w:tc>
        <w:tc>
          <w:tcPr>
            <w:tcW w:w="1443" w:type="dxa"/>
            <w:shd w:val="clear" w:color="auto" w:fill="FFFFFF"/>
            <w:hideMark/>
          </w:tcPr>
          <w:p w14:paraId="7103370A" w14:textId="39101224" w:rsidR="00F437CF" w:rsidRPr="00F12F90" w:rsidRDefault="00084E2A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1110/4321</w:t>
            </w:r>
            <w:r w:rsidR="00F437CF"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(25,7 %)</w:t>
            </w:r>
          </w:p>
        </w:tc>
        <w:tc>
          <w:tcPr>
            <w:tcW w:w="3190" w:type="dxa"/>
            <w:gridSpan w:val="2"/>
            <w:vMerge/>
            <w:vAlign w:val="center"/>
            <w:hideMark/>
          </w:tcPr>
          <w:p w14:paraId="23636BC7" w14:textId="77777777" w:rsidR="00F437CF" w:rsidRPr="00F12F90" w:rsidRDefault="00F437CF" w:rsidP="00F437CF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63" w:type="dxa"/>
            <w:shd w:val="clear" w:color="auto" w:fill="FFFFFF"/>
            <w:hideMark/>
          </w:tcPr>
          <w:p w14:paraId="635377C7" w14:textId="77777777" w:rsidR="00084E2A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0,83 </w:t>
            </w:r>
          </w:p>
          <w:p w14:paraId="382A6F8F" w14:textId="1426F4B2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(0,75-0,93</w:t>
            </w:r>
            <w:r w:rsidRPr="00F12F90">
              <w:rPr>
                <w:rFonts w:eastAsia="Times New Roman"/>
                <w:sz w:val="18"/>
                <w:szCs w:val="18"/>
                <w:lang w:val="ru-RU" w:eastAsia="ru-RU"/>
              </w:rPr>
              <w:t>)</w:t>
            </w:r>
          </w:p>
          <w:p w14:paraId="4F06989D" w14:textId="77777777" w:rsidR="00F437CF" w:rsidRPr="00F12F90" w:rsidRDefault="00F437CF" w:rsidP="00084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р</w:t>
            </w:r>
            <w:proofErr w:type="gramEnd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 xml:space="preserve"> &lt; 0,001</w:t>
            </w:r>
          </w:p>
        </w:tc>
      </w:tr>
      <w:tr w:rsidR="00084E2A" w:rsidRPr="00F12F90" w14:paraId="37808554" w14:textId="77777777" w:rsidTr="00084E2A">
        <w:trPr>
          <w:trHeight w:val="419"/>
        </w:trPr>
        <w:tc>
          <w:tcPr>
            <w:tcW w:w="2212" w:type="dxa"/>
            <w:gridSpan w:val="3"/>
            <w:shd w:val="clear" w:color="auto" w:fill="FFFFFF"/>
            <w:vAlign w:val="bottom"/>
          </w:tcPr>
          <w:p w14:paraId="330738A6" w14:textId="77777777" w:rsidR="00B35899" w:rsidRPr="00F12F90" w:rsidRDefault="00B35899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8" w:type="dxa"/>
            <w:shd w:val="clear" w:color="auto" w:fill="FFFFFF"/>
            <w:vAlign w:val="bottom"/>
          </w:tcPr>
          <w:p w14:paraId="3714FBAB" w14:textId="77777777" w:rsidR="00B35899" w:rsidRPr="00F12F90" w:rsidRDefault="00B35899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3" w:type="dxa"/>
            <w:shd w:val="clear" w:color="auto" w:fill="FFFFFF"/>
            <w:hideMark/>
          </w:tcPr>
          <w:p w14:paraId="584B128E" w14:textId="322931B6" w:rsidR="00B35899" w:rsidRPr="00F12F90" w:rsidRDefault="00B35899" w:rsidP="0083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164DC78" w14:textId="41DCE49D" w:rsidR="00B35899" w:rsidRPr="00F12F90" w:rsidRDefault="00B35899" w:rsidP="00B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Дексаметазон</w:t>
            </w:r>
            <w:proofErr w:type="spellEnd"/>
          </w:p>
          <w:p w14:paraId="2BDC05BA" w14:textId="456AE121" w:rsidR="00B35899" w:rsidRPr="00F12F90" w:rsidRDefault="00B35899" w:rsidP="00B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лучше</w:t>
            </w:r>
          </w:p>
        </w:tc>
        <w:tc>
          <w:tcPr>
            <w:tcW w:w="1489" w:type="dxa"/>
            <w:shd w:val="clear" w:color="auto" w:fill="FFFFFF"/>
            <w:hideMark/>
          </w:tcPr>
          <w:p w14:paraId="132B233D" w14:textId="523B24B0" w:rsidR="00B35899" w:rsidRPr="00F12F90" w:rsidRDefault="00B35899" w:rsidP="00B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12F90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Стандартная терапия лучше</w:t>
            </w:r>
          </w:p>
        </w:tc>
        <w:tc>
          <w:tcPr>
            <w:tcW w:w="1063" w:type="dxa"/>
            <w:shd w:val="clear" w:color="auto" w:fill="FFFFFF"/>
          </w:tcPr>
          <w:p w14:paraId="1D789F35" w14:textId="5DEAC8ED" w:rsidR="00B35899" w:rsidRPr="00F12F90" w:rsidRDefault="00B35899" w:rsidP="00F43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</w:tbl>
    <w:p w14:paraId="2FA8BCEF" w14:textId="77777777" w:rsidR="00F437CF" w:rsidRPr="00F12F90" w:rsidRDefault="00F437CF" w:rsidP="00804174">
      <w:pPr>
        <w:jc w:val="both"/>
        <w:rPr>
          <w:i/>
          <w:sz w:val="18"/>
          <w:szCs w:val="18"/>
          <w:lang w:val="ru-RU"/>
        </w:rPr>
      </w:pPr>
    </w:p>
    <w:p w14:paraId="15B592DD" w14:textId="129E3E0E" w:rsidR="00EE04D9" w:rsidRPr="00F12F90" w:rsidRDefault="00833809" w:rsidP="00EE04D9">
      <w:pPr>
        <w:rPr>
          <w:lang w:val="ru-RU"/>
        </w:rPr>
      </w:pPr>
      <w:proofErr w:type="gramStart"/>
      <w:r w:rsidRPr="00F12F90">
        <w:rPr>
          <w:lang w:val="ru-RU"/>
        </w:rPr>
        <w:t xml:space="preserve">2 </w:t>
      </w:r>
      <w:r w:rsidR="00EE04D9" w:rsidRPr="00F12F90">
        <w:rPr>
          <w:lang w:val="ru-RU"/>
        </w:rPr>
        <w:t>(</w:t>
      </w:r>
      <w:proofErr w:type="spellStart"/>
      <w:r w:rsidR="00EE04D9" w:rsidRPr="00F12F90">
        <w:rPr>
          <w:lang w:val="ru-RU"/>
        </w:rPr>
        <w:t>Quelle</w:t>
      </w:r>
      <w:proofErr w:type="spellEnd"/>
      <w:r w:rsidR="00EE04D9" w:rsidRPr="00F12F90">
        <w:rPr>
          <w:lang w:val="ru-RU"/>
        </w:rPr>
        <w:t>:</w:t>
      </w:r>
      <w:proofErr w:type="gramEnd"/>
      <w:r w:rsidR="00EE04D9" w:rsidRPr="00F12F90">
        <w:rPr>
          <w:lang w:val="ru-RU"/>
        </w:rPr>
        <w:t xml:space="preserve"> </w:t>
      </w:r>
      <w:proofErr w:type="spellStart"/>
      <w:r w:rsidR="00EE04D9" w:rsidRPr="00F12F90">
        <w:rPr>
          <w:lang w:val="ru-RU"/>
        </w:rPr>
        <w:t>Horby</w:t>
      </w:r>
      <w:proofErr w:type="spellEnd"/>
      <w:r w:rsidR="00EE04D9" w:rsidRPr="00F12F90">
        <w:rPr>
          <w:lang w:val="ru-RU"/>
        </w:rPr>
        <w:t xml:space="preserve"> P. </w:t>
      </w:r>
      <w:proofErr w:type="spellStart"/>
      <w:r w:rsidR="00EE04D9" w:rsidRPr="00F12F90">
        <w:rPr>
          <w:lang w:val="ru-RU"/>
        </w:rPr>
        <w:t>et</w:t>
      </w:r>
      <w:proofErr w:type="spellEnd"/>
      <w:r w:rsidR="00EE04D9" w:rsidRPr="00F12F90">
        <w:rPr>
          <w:lang w:val="ru-RU"/>
        </w:rPr>
        <w:t xml:space="preserve"> </w:t>
      </w:r>
      <w:proofErr w:type="spellStart"/>
      <w:r w:rsidR="00EE04D9" w:rsidRPr="00F12F90">
        <w:rPr>
          <w:lang w:val="ru-RU"/>
        </w:rPr>
        <w:t>al</w:t>
      </w:r>
      <w:proofErr w:type="spellEnd"/>
      <w:r w:rsidR="00EE04D9" w:rsidRPr="00F12F90">
        <w:rPr>
          <w:lang w:val="ru-RU"/>
        </w:rPr>
        <w:t>., 2020; https://www.medrxiv.org/content/10.1101/2020.06.22.20137273v1;</w:t>
      </w:r>
    </w:p>
    <w:p w14:paraId="52C504FB" w14:textId="71CFD5B0" w:rsidR="00833809" w:rsidRPr="00F12F90" w:rsidRDefault="00833809" w:rsidP="00EE04D9">
      <w:pPr>
        <w:rPr>
          <w:lang w:val="ru-RU"/>
        </w:rPr>
      </w:pPr>
      <w:proofErr w:type="spellStart"/>
      <w:proofErr w:type="gramStart"/>
      <w:r w:rsidRPr="00F12F90">
        <w:rPr>
          <w:lang w:val="ru-RU"/>
        </w:rPr>
        <w:t>doi:https</w:t>
      </w:r>
      <w:proofErr w:type="spellEnd"/>
      <w:r w:rsidRPr="00F12F90">
        <w:rPr>
          <w:lang w:val="ru-RU"/>
        </w:rPr>
        <w:t xml:space="preserve">://doi.org/10.1101/2020.06.22.20137273) </w:t>
      </w:r>
      <w:proofErr w:type="gramEnd"/>
    </w:p>
    <w:p w14:paraId="6F40CA43" w14:textId="57533E86" w:rsidR="00663379" w:rsidRPr="00F12F90" w:rsidRDefault="00833809" w:rsidP="00EE04D9">
      <w:pPr>
        <w:rPr>
          <w:lang w:val="ru-RU"/>
        </w:rPr>
      </w:pPr>
      <w:proofErr w:type="gramStart"/>
      <w:r w:rsidRPr="00F12F90">
        <w:rPr>
          <w:lang w:val="ru-RU"/>
        </w:rPr>
        <w:t>3 (</w:t>
      </w:r>
      <w:proofErr w:type="spellStart"/>
      <w:r w:rsidRPr="00F12F90">
        <w:rPr>
          <w:lang w:val="ru-RU"/>
        </w:rPr>
        <w:t>Quelle</w:t>
      </w:r>
      <w:proofErr w:type="spellEnd"/>
      <w:r w:rsidRPr="00F12F90">
        <w:rPr>
          <w:lang w:val="ru-RU"/>
        </w:rPr>
        <w:t>:</w:t>
      </w:r>
      <w:proofErr w:type="gramEnd"/>
      <w:r w:rsidRPr="00F12F90">
        <w:rPr>
          <w:lang w:val="ru-RU"/>
        </w:rPr>
        <w:t xml:space="preserve"> </w:t>
      </w:r>
      <w:proofErr w:type="spellStart"/>
      <w:proofErr w:type="gramStart"/>
      <w:r w:rsidRPr="00F12F90">
        <w:rPr>
          <w:lang w:val="ru-RU"/>
        </w:rPr>
        <w:t>Horby</w:t>
      </w:r>
      <w:proofErr w:type="spellEnd"/>
      <w:r w:rsidRPr="00F12F90">
        <w:rPr>
          <w:lang w:val="ru-RU"/>
        </w:rPr>
        <w:t xml:space="preserve"> P. </w:t>
      </w:r>
      <w:proofErr w:type="spellStart"/>
      <w:r w:rsidRPr="00F12F90">
        <w:rPr>
          <w:lang w:val="ru-RU"/>
        </w:rPr>
        <w:t>et</w:t>
      </w:r>
      <w:proofErr w:type="spell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al</w:t>
      </w:r>
      <w:proofErr w:type="spellEnd"/>
      <w:r w:rsidRPr="00F12F90">
        <w:rPr>
          <w:lang w:val="ru-RU"/>
        </w:rPr>
        <w:t xml:space="preserve">., 2020; </w:t>
      </w:r>
      <w:r w:rsidR="00EE04D9" w:rsidRPr="00F12F90">
        <w:rPr>
          <w:lang w:val="ru-RU"/>
        </w:rPr>
        <w:t>https://www.medrxiv.org/content/10.1101/2020.06.22.20137273v1</w:t>
      </w:r>
      <w:r w:rsidRPr="00F12F90">
        <w:rPr>
          <w:lang w:val="ru-RU"/>
        </w:rPr>
        <w:t>;</w:t>
      </w:r>
      <w:r w:rsidR="00EE04D9"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doi:https</w:t>
      </w:r>
      <w:proofErr w:type="spellEnd"/>
      <w:r w:rsidRPr="00F12F90">
        <w:rPr>
          <w:lang w:val="ru-RU"/>
        </w:rPr>
        <w:t xml:space="preserve">://doi.org/10.1101/2020.06.22.20137273)  </w:t>
      </w:r>
      <w:proofErr w:type="gramEnd"/>
    </w:p>
    <w:p w14:paraId="20446D54" w14:textId="77777777" w:rsidR="000C6B72" w:rsidRPr="00F12F90" w:rsidRDefault="000C6B72" w:rsidP="0013635B">
      <w:pPr>
        <w:jc w:val="both"/>
        <w:rPr>
          <w:lang w:val="ru-RU"/>
        </w:rPr>
      </w:pPr>
    </w:p>
    <w:p w14:paraId="0CBDA33B" w14:textId="0FFA9960" w:rsidR="006232D6" w:rsidRPr="00F12F90" w:rsidRDefault="006232D6" w:rsidP="00D925FF">
      <w:pPr>
        <w:jc w:val="both"/>
        <w:rPr>
          <w:b/>
          <w:lang w:val="ru-RU"/>
        </w:rPr>
      </w:pPr>
      <w:r w:rsidRPr="00F12F90">
        <w:rPr>
          <w:b/>
          <w:lang w:val="ru-RU"/>
        </w:rPr>
        <w:t>5.2. Фармакокине</w:t>
      </w:r>
      <w:r w:rsidR="006D4B31" w:rsidRPr="00F12F90">
        <w:rPr>
          <w:b/>
          <w:lang w:val="ru-RU"/>
        </w:rPr>
        <w:t>тические свойства</w:t>
      </w:r>
    </w:p>
    <w:p w14:paraId="4C033665" w14:textId="57547813" w:rsidR="0013635B" w:rsidRPr="00F12F90" w:rsidRDefault="0013635B" w:rsidP="0013635B">
      <w:pPr>
        <w:jc w:val="both"/>
        <w:rPr>
          <w:i/>
          <w:iCs/>
          <w:lang w:val="ru-RU"/>
        </w:rPr>
      </w:pPr>
      <w:r w:rsidRPr="00F12F90">
        <w:rPr>
          <w:i/>
          <w:iCs/>
          <w:lang w:val="ru-RU"/>
        </w:rPr>
        <w:t>Абсорбция</w:t>
      </w:r>
    </w:p>
    <w:p w14:paraId="36F25339" w14:textId="13EB8B44" w:rsidR="007724EA" w:rsidRPr="00F12F90" w:rsidRDefault="0013635B" w:rsidP="0013635B">
      <w:pPr>
        <w:jc w:val="both"/>
        <w:rPr>
          <w:iCs/>
          <w:lang w:val="ru-RU"/>
        </w:rPr>
      </w:pPr>
      <w:r w:rsidRPr="00F12F90">
        <w:rPr>
          <w:iCs/>
          <w:lang w:val="ru-RU"/>
        </w:rPr>
        <w:t xml:space="preserve">После внутривенного применения </w:t>
      </w:r>
      <w:proofErr w:type="spellStart"/>
      <w:r w:rsidRPr="00F12F90">
        <w:rPr>
          <w:iCs/>
          <w:lang w:val="ru-RU"/>
        </w:rPr>
        <w:t>дексаметазон</w:t>
      </w:r>
      <w:proofErr w:type="spellEnd"/>
      <w:r w:rsidRPr="00F12F90">
        <w:rPr>
          <w:iCs/>
          <w:lang w:val="ru-RU"/>
        </w:rPr>
        <w:t xml:space="preserve"> фосфат достигает пика концентрации в плазме уже через 5 мин и через один час после внутримышечной инъекции. После местного применения в виде инъекции в сустав или мягкие ткани (раны), абсорбция </w:t>
      </w:r>
      <w:r w:rsidRPr="00F12F90">
        <w:rPr>
          <w:iCs/>
          <w:lang w:val="ru-RU"/>
        </w:rPr>
        <w:lastRenderedPageBreak/>
        <w:t>несколько ниже, чем после внутримышечного введения. После внутривенного применения начало действия происходит быстро; после внутримышечного применения клинический эффект достигается через 8 часов. Действие сохраняется в течение длительного времени: 17-28 дней после внутримышечного применения, и 3 дня - 3 недели после местного при</w:t>
      </w:r>
      <w:bookmarkStart w:id="0" w:name="_GoBack"/>
      <w:bookmarkEnd w:id="0"/>
      <w:r w:rsidRPr="00F12F90">
        <w:rPr>
          <w:iCs/>
          <w:lang w:val="ru-RU"/>
        </w:rPr>
        <w:t xml:space="preserve">менения. Биологический период полувыведения </w:t>
      </w:r>
      <w:proofErr w:type="spellStart"/>
      <w:r w:rsidRPr="00F12F90">
        <w:rPr>
          <w:iCs/>
          <w:lang w:val="ru-RU"/>
        </w:rPr>
        <w:t>дексаметазона</w:t>
      </w:r>
      <w:proofErr w:type="spellEnd"/>
      <w:r w:rsidRPr="00F12F90">
        <w:rPr>
          <w:iCs/>
          <w:lang w:val="ru-RU"/>
        </w:rPr>
        <w:t xml:space="preserve"> составляет 24-72 часа. В плазме и в синовиальной жидкости </w:t>
      </w:r>
      <w:proofErr w:type="spellStart"/>
      <w:r w:rsidRPr="00F12F90">
        <w:rPr>
          <w:iCs/>
          <w:lang w:val="ru-RU"/>
        </w:rPr>
        <w:t>дексаметазон</w:t>
      </w:r>
      <w:proofErr w:type="spellEnd"/>
      <w:r w:rsidRPr="00F12F90">
        <w:rPr>
          <w:iCs/>
          <w:lang w:val="ru-RU"/>
        </w:rPr>
        <w:t xml:space="preserve"> фосфат быстро превращается в </w:t>
      </w:r>
      <w:proofErr w:type="spellStart"/>
      <w:r w:rsidRPr="00F12F90">
        <w:rPr>
          <w:iCs/>
          <w:lang w:val="ru-RU"/>
        </w:rPr>
        <w:t>дексаметазон</w:t>
      </w:r>
      <w:proofErr w:type="spellEnd"/>
      <w:r w:rsidRPr="00F12F90">
        <w:rPr>
          <w:iCs/>
          <w:lang w:val="ru-RU"/>
        </w:rPr>
        <w:t>.</w:t>
      </w:r>
    </w:p>
    <w:p w14:paraId="752AED26" w14:textId="77777777" w:rsidR="0013635B" w:rsidRPr="00F12F90" w:rsidRDefault="0013635B" w:rsidP="0013635B">
      <w:pPr>
        <w:jc w:val="both"/>
        <w:rPr>
          <w:i/>
          <w:iCs/>
          <w:lang w:val="ru-RU"/>
        </w:rPr>
      </w:pPr>
      <w:r w:rsidRPr="00F12F90">
        <w:rPr>
          <w:i/>
          <w:iCs/>
          <w:lang w:val="ru-RU"/>
        </w:rPr>
        <w:t>Распределение</w:t>
      </w:r>
    </w:p>
    <w:p w14:paraId="0AD8CF6E" w14:textId="77777777" w:rsidR="0013635B" w:rsidRPr="00F12F90" w:rsidRDefault="0013635B" w:rsidP="0013635B">
      <w:pPr>
        <w:jc w:val="both"/>
        <w:rPr>
          <w:iCs/>
          <w:lang w:val="ru-RU"/>
        </w:rPr>
      </w:pPr>
      <w:r w:rsidRPr="00F12F90">
        <w:rPr>
          <w:iCs/>
          <w:lang w:val="ru-RU"/>
        </w:rPr>
        <w:t xml:space="preserve">Примерно 77 % </w:t>
      </w:r>
      <w:proofErr w:type="spellStart"/>
      <w:r w:rsidRPr="00F12F90">
        <w:rPr>
          <w:iCs/>
          <w:lang w:val="ru-RU"/>
        </w:rPr>
        <w:t>дексаметазона</w:t>
      </w:r>
      <w:proofErr w:type="spellEnd"/>
      <w:r w:rsidRPr="00F12F90">
        <w:rPr>
          <w:iCs/>
          <w:lang w:val="ru-RU"/>
        </w:rPr>
        <w:t xml:space="preserve"> связывается с белками плазмы, преимущественно с альбумином. Лишь незначительное количество </w:t>
      </w:r>
      <w:proofErr w:type="spellStart"/>
      <w:r w:rsidRPr="00F12F90">
        <w:rPr>
          <w:iCs/>
          <w:lang w:val="ru-RU"/>
        </w:rPr>
        <w:t>дексаметазона</w:t>
      </w:r>
      <w:proofErr w:type="spellEnd"/>
      <w:r w:rsidRPr="00F12F90">
        <w:rPr>
          <w:iCs/>
          <w:lang w:val="ru-RU"/>
        </w:rPr>
        <w:t xml:space="preserve"> связывается с альбуминовыми белками. Так как </w:t>
      </w:r>
      <w:proofErr w:type="spellStart"/>
      <w:r w:rsidRPr="00F12F90">
        <w:rPr>
          <w:iCs/>
          <w:lang w:val="ru-RU"/>
        </w:rPr>
        <w:t>дексаметазон</w:t>
      </w:r>
      <w:proofErr w:type="spellEnd"/>
      <w:r w:rsidRPr="00F12F90">
        <w:rPr>
          <w:iCs/>
          <w:lang w:val="ru-RU"/>
        </w:rPr>
        <w:t xml:space="preserve"> жирорастворимое вещество, он может проникать во </w:t>
      </w:r>
      <w:proofErr w:type="gramStart"/>
      <w:r w:rsidRPr="00F12F90">
        <w:rPr>
          <w:iCs/>
          <w:lang w:val="ru-RU"/>
        </w:rPr>
        <w:t>вне</w:t>
      </w:r>
      <w:proofErr w:type="gramEnd"/>
      <w:r w:rsidRPr="00F12F90">
        <w:rPr>
          <w:iCs/>
          <w:lang w:val="ru-RU"/>
        </w:rPr>
        <w:t>- и внутриклеточное пространство.</w:t>
      </w:r>
    </w:p>
    <w:p w14:paraId="3A9A75EB" w14:textId="77777777" w:rsidR="0013635B" w:rsidRPr="00F12F90" w:rsidRDefault="0013635B" w:rsidP="0013635B">
      <w:pPr>
        <w:jc w:val="both"/>
        <w:rPr>
          <w:i/>
          <w:iCs/>
          <w:lang w:val="ru-RU"/>
        </w:rPr>
      </w:pPr>
      <w:r w:rsidRPr="00F12F90">
        <w:rPr>
          <w:i/>
          <w:iCs/>
          <w:lang w:val="ru-RU"/>
        </w:rPr>
        <w:t>Метаболизм</w:t>
      </w:r>
    </w:p>
    <w:p w14:paraId="52AA92BC" w14:textId="54752335" w:rsidR="0013635B" w:rsidRPr="00F12F90" w:rsidRDefault="0013635B" w:rsidP="0013635B">
      <w:pPr>
        <w:jc w:val="both"/>
        <w:rPr>
          <w:iCs/>
          <w:lang w:val="ru-RU"/>
        </w:rPr>
      </w:pPr>
      <w:r w:rsidRPr="00F12F90">
        <w:rPr>
          <w:iCs/>
          <w:lang w:val="ru-RU"/>
        </w:rPr>
        <w:t xml:space="preserve">В центральной нервной системе (гипоталамус, гипофиз) его эффекты обусловлены связыванием с мембранными рецепторами. В периферических тканях связывается с цитоплазматическими рецепторами. Распад происходит в месте его действия, т.е. в клетке. В основном препарат подвергается метаболизму в печени, но также </w:t>
      </w:r>
      <w:proofErr w:type="spellStart"/>
      <w:r w:rsidRPr="00F12F90">
        <w:rPr>
          <w:iCs/>
          <w:lang w:val="ru-RU"/>
        </w:rPr>
        <w:t>метаболизируется</w:t>
      </w:r>
      <w:proofErr w:type="spellEnd"/>
      <w:r w:rsidRPr="00F12F90">
        <w:rPr>
          <w:iCs/>
          <w:lang w:val="ru-RU"/>
        </w:rPr>
        <w:t xml:space="preserve"> в почках и других тканях. </w:t>
      </w:r>
    </w:p>
    <w:p w14:paraId="74CC1261" w14:textId="77777777" w:rsidR="0013635B" w:rsidRPr="00F12F90" w:rsidRDefault="0013635B" w:rsidP="0013635B">
      <w:pPr>
        <w:jc w:val="both"/>
        <w:rPr>
          <w:i/>
          <w:iCs/>
          <w:lang w:val="ru-RU"/>
        </w:rPr>
      </w:pPr>
      <w:r w:rsidRPr="00F12F90">
        <w:rPr>
          <w:i/>
          <w:iCs/>
          <w:lang w:val="ru-RU"/>
        </w:rPr>
        <w:t>Выведение</w:t>
      </w:r>
    </w:p>
    <w:p w14:paraId="30E6709A" w14:textId="77777777" w:rsidR="0013635B" w:rsidRPr="00F12F90" w:rsidRDefault="0013635B" w:rsidP="0013635B">
      <w:pPr>
        <w:jc w:val="both"/>
        <w:rPr>
          <w:iCs/>
          <w:lang w:val="ru-RU"/>
        </w:rPr>
      </w:pPr>
      <w:r w:rsidRPr="00F12F90">
        <w:rPr>
          <w:iCs/>
          <w:lang w:val="ru-RU"/>
        </w:rPr>
        <w:t>В основном выводится с мочой.</w:t>
      </w:r>
    </w:p>
    <w:p w14:paraId="149F6172" w14:textId="77777777" w:rsidR="00465460" w:rsidRPr="00F12F90" w:rsidRDefault="00465460" w:rsidP="0013635B">
      <w:pPr>
        <w:jc w:val="both"/>
        <w:rPr>
          <w:iCs/>
          <w:lang w:val="ru-RU"/>
        </w:rPr>
      </w:pPr>
    </w:p>
    <w:p w14:paraId="416A031E" w14:textId="1B06724A" w:rsidR="00465460" w:rsidRPr="00F12F90" w:rsidRDefault="00465460" w:rsidP="0013635B">
      <w:pPr>
        <w:jc w:val="both"/>
        <w:rPr>
          <w:b/>
          <w:iCs/>
          <w:lang w:val="ru-RU"/>
        </w:rPr>
      </w:pPr>
      <w:r w:rsidRPr="00F12F90">
        <w:rPr>
          <w:b/>
          <w:iCs/>
          <w:lang w:val="ru-RU"/>
        </w:rPr>
        <w:t>5.3. Данные доклинической безопасности.</w:t>
      </w:r>
    </w:p>
    <w:p w14:paraId="357E35A2" w14:textId="4EE94DD6" w:rsidR="00B0449D" w:rsidRPr="00F12F90" w:rsidRDefault="00E758E0" w:rsidP="00B0449D">
      <w:pPr>
        <w:jc w:val="both"/>
        <w:rPr>
          <w:i/>
          <w:lang w:val="ru-RU"/>
        </w:rPr>
      </w:pPr>
      <w:r w:rsidRPr="00F12F90">
        <w:rPr>
          <w:i/>
          <w:lang w:val="ru-RU"/>
        </w:rPr>
        <w:t>Острая токсичность</w:t>
      </w:r>
    </w:p>
    <w:p w14:paraId="03857DB3" w14:textId="0D7EDC9C" w:rsidR="00B0449D" w:rsidRPr="00F12F90" w:rsidRDefault="00B0449D" w:rsidP="0000238C">
      <w:pPr>
        <w:jc w:val="both"/>
        <w:rPr>
          <w:lang w:val="ru-RU"/>
        </w:rPr>
      </w:pPr>
      <w:r w:rsidRPr="00F12F90">
        <w:rPr>
          <w:lang w:val="ru-RU"/>
        </w:rPr>
        <w:t xml:space="preserve">После однократного перорального применения в течение первых 7 дней LD50 </w:t>
      </w:r>
      <w:proofErr w:type="spellStart"/>
      <w:r w:rsidRPr="00F12F90">
        <w:rPr>
          <w:lang w:val="ru-RU"/>
        </w:rPr>
        <w:t>дексаметазона</w:t>
      </w:r>
      <w:proofErr w:type="spellEnd"/>
      <w:r w:rsidRPr="00F12F90">
        <w:rPr>
          <w:lang w:val="ru-RU"/>
        </w:rPr>
        <w:t xml:space="preserve"> составляет 16 г/кг массы тела у мышей и более 3 г/кг массы тела у крыс. После однократного подкожного применения LD50 составляет более 700 мг/кг массы тела у мышей и около 120 мг/кг массы тела у крыс в течение первых 7 дней. При наблюдении в течение 21 дня эти значения смещаются в более низкие диапазоны, что интерпретируется как результат тяжелых инфекционных заболеваний, вызванных </w:t>
      </w:r>
      <w:proofErr w:type="gramStart"/>
      <w:r w:rsidRPr="00F12F90">
        <w:rPr>
          <w:lang w:val="ru-RU"/>
        </w:rPr>
        <w:t>гормональной</w:t>
      </w:r>
      <w:proofErr w:type="gramEnd"/>
      <w:r w:rsidRPr="00F12F90">
        <w:rPr>
          <w:lang w:val="ru-RU"/>
        </w:rPr>
        <w:t xml:space="preserve"> </w:t>
      </w:r>
      <w:proofErr w:type="spellStart"/>
      <w:r w:rsidRPr="00F12F90">
        <w:rPr>
          <w:lang w:val="ru-RU"/>
        </w:rPr>
        <w:t>иммуносупрессией</w:t>
      </w:r>
      <w:proofErr w:type="spellEnd"/>
      <w:r w:rsidRPr="00F12F90">
        <w:rPr>
          <w:lang w:val="ru-RU"/>
        </w:rPr>
        <w:t>.</w:t>
      </w:r>
    </w:p>
    <w:p w14:paraId="322C2235" w14:textId="77777777" w:rsidR="00B0449D" w:rsidRPr="00F12F90" w:rsidRDefault="00B0449D" w:rsidP="00B0449D">
      <w:pPr>
        <w:jc w:val="both"/>
        <w:rPr>
          <w:lang w:val="ru-RU"/>
        </w:rPr>
      </w:pPr>
      <w:r w:rsidRPr="00F12F90">
        <w:rPr>
          <w:i/>
          <w:lang w:val="ru-RU"/>
        </w:rPr>
        <w:t>Хроническая токсичность</w:t>
      </w:r>
    </w:p>
    <w:p w14:paraId="7E0290FF" w14:textId="7CDD7E63" w:rsidR="00B0449D" w:rsidRPr="00F12F90" w:rsidRDefault="00B0449D" w:rsidP="0000238C">
      <w:pPr>
        <w:jc w:val="both"/>
        <w:rPr>
          <w:lang w:val="ru-RU"/>
        </w:rPr>
      </w:pPr>
      <w:r w:rsidRPr="00F12F90">
        <w:rPr>
          <w:lang w:val="ru-RU"/>
        </w:rPr>
        <w:t xml:space="preserve">Информация о хронической токсичности для человека и животных отсутствует. Симптомы отравления, вызванного кортикостероидами, неизвестны. </w:t>
      </w:r>
      <w:r w:rsidR="001E0472" w:rsidRPr="00F12F90">
        <w:rPr>
          <w:lang w:val="ru-RU"/>
        </w:rPr>
        <w:t>П</w:t>
      </w:r>
      <w:r w:rsidRPr="00F12F90">
        <w:rPr>
          <w:lang w:val="ru-RU"/>
        </w:rPr>
        <w:t>ри длительном лечении дозами вы</w:t>
      </w:r>
      <w:r w:rsidR="0000238C" w:rsidRPr="00F12F90">
        <w:rPr>
          <w:lang w:val="ru-RU"/>
        </w:rPr>
        <w:t>ше 1,5 мг/</w:t>
      </w:r>
      <w:proofErr w:type="spellStart"/>
      <w:r w:rsidR="0000238C" w:rsidRPr="00F12F90">
        <w:rPr>
          <w:lang w:val="ru-RU"/>
        </w:rPr>
        <w:t>сут</w:t>
      </w:r>
      <w:proofErr w:type="spellEnd"/>
      <w:r w:rsidR="0000238C" w:rsidRPr="00F12F90">
        <w:rPr>
          <w:lang w:val="ru-RU"/>
        </w:rPr>
        <w:t xml:space="preserve"> </w:t>
      </w:r>
      <w:r w:rsidR="001E0472" w:rsidRPr="00F12F90">
        <w:rPr>
          <w:lang w:val="ru-RU"/>
        </w:rPr>
        <w:t xml:space="preserve">следует ожидать выраженных нежелательных реакций </w:t>
      </w:r>
      <w:r w:rsidR="0000238C" w:rsidRPr="00F12F90">
        <w:rPr>
          <w:lang w:val="ru-RU"/>
        </w:rPr>
        <w:t>(см. раздел 4.8</w:t>
      </w:r>
      <w:r w:rsidR="00E758E0" w:rsidRPr="00F12F90">
        <w:rPr>
          <w:lang w:val="ru-RU"/>
        </w:rPr>
        <w:t>).</w:t>
      </w:r>
    </w:p>
    <w:p w14:paraId="10E4A4DA" w14:textId="555D987F" w:rsidR="00B0449D" w:rsidRPr="00F12F90" w:rsidRDefault="00B0449D" w:rsidP="00B0449D">
      <w:pPr>
        <w:jc w:val="both"/>
        <w:rPr>
          <w:i/>
          <w:lang w:val="ru-RU"/>
        </w:rPr>
      </w:pPr>
      <w:r w:rsidRPr="00F12F90">
        <w:rPr>
          <w:i/>
          <w:lang w:val="ru-RU"/>
        </w:rPr>
        <w:t xml:space="preserve">Мутагенный и </w:t>
      </w:r>
      <w:r w:rsidR="00A5342D" w:rsidRPr="00F12F90">
        <w:rPr>
          <w:i/>
          <w:lang w:val="ru-RU"/>
        </w:rPr>
        <w:t>онкогенный</w:t>
      </w:r>
      <w:r w:rsidRPr="00F12F90">
        <w:rPr>
          <w:i/>
          <w:lang w:val="ru-RU"/>
        </w:rPr>
        <w:t xml:space="preserve"> потенциал</w:t>
      </w:r>
    </w:p>
    <w:p w14:paraId="58AEF3FD" w14:textId="241185CB" w:rsidR="00B0449D" w:rsidRPr="00F12F90" w:rsidRDefault="00B0449D" w:rsidP="0000238C">
      <w:pPr>
        <w:jc w:val="both"/>
        <w:rPr>
          <w:lang w:val="ru-RU"/>
        </w:rPr>
      </w:pPr>
      <w:r w:rsidRPr="00F12F90">
        <w:rPr>
          <w:lang w:val="ru-RU"/>
        </w:rPr>
        <w:t xml:space="preserve">Существующие результаты испытаний </w:t>
      </w:r>
      <w:proofErr w:type="spellStart"/>
      <w:r w:rsidRPr="00F12F90">
        <w:rPr>
          <w:lang w:val="ru-RU"/>
        </w:rPr>
        <w:t>глюкокортико</w:t>
      </w:r>
      <w:r w:rsidR="008B6E7A" w:rsidRPr="00F12F90">
        <w:rPr>
          <w:lang w:val="ru-RU"/>
        </w:rPr>
        <w:t>стеро</w:t>
      </w:r>
      <w:r w:rsidRPr="00F12F90">
        <w:rPr>
          <w:lang w:val="ru-RU"/>
        </w:rPr>
        <w:t>идов</w:t>
      </w:r>
      <w:proofErr w:type="spellEnd"/>
      <w:r w:rsidRPr="00F12F90">
        <w:rPr>
          <w:lang w:val="ru-RU"/>
        </w:rPr>
        <w:t xml:space="preserve"> не дают доказатель</w:t>
      </w:r>
      <w:proofErr w:type="gramStart"/>
      <w:r w:rsidRPr="00F12F90">
        <w:rPr>
          <w:lang w:val="ru-RU"/>
        </w:rPr>
        <w:t>ств кл</w:t>
      </w:r>
      <w:proofErr w:type="gramEnd"/>
      <w:r w:rsidRPr="00F12F90">
        <w:rPr>
          <w:lang w:val="ru-RU"/>
        </w:rPr>
        <w:t xml:space="preserve">инически значимых </w:t>
      </w:r>
      <w:proofErr w:type="spellStart"/>
      <w:r w:rsidRPr="00F12F90">
        <w:rPr>
          <w:lang w:val="ru-RU"/>
        </w:rPr>
        <w:t>генотоксических</w:t>
      </w:r>
      <w:proofErr w:type="spellEnd"/>
      <w:r w:rsidRPr="00F12F90">
        <w:rPr>
          <w:lang w:val="ru-RU"/>
        </w:rPr>
        <w:t xml:space="preserve"> свойс</w:t>
      </w:r>
      <w:r w:rsidR="0000238C" w:rsidRPr="00F12F90">
        <w:rPr>
          <w:lang w:val="ru-RU"/>
        </w:rPr>
        <w:t>тв.</w:t>
      </w:r>
    </w:p>
    <w:p w14:paraId="230C03B6" w14:textId="118788B2" w:rsidR="00B0449D" w:rsidRPr="00F12F90" w:rsidRDefault="00B0449D" w:rsidP="00B0449D">
      <w:pPr>
        <w:jc w:val="both"/>
        <w:rPr>
          <w:i/>
          <w:lang w:val="ru-RU"/>
        </w:rPr>
      </w:pPr>
      <w:r w:rsidRPr="00F12F90">
        <w:rPr>
          <w:i/>
          <w:lang w:val="ru-RU"/>
        </w:rPr>
        <w:t>Репродуктивная токсичность</w:t>
      </w:r>
    </w:p>
    <w:p w14:paraId="4AD32426" w14:textId="4A9F54CF" w:rsidR="00B0449D" w:rsidRPr="00F12F90" w:rsidRDefault="00B0449D" w:rsidP="00B0449D">
      <w:pPr>
        <w:jc w:val="both"/>
        <w:rPr>
          <w:lang w:val="ru-RU"/>
        </w:rPr>
      </w:pPr>
      <w:r w:rsidRPr="00F12F90">
        <w:rPr>
          <w:lang w:val="ru-RU"/>
        </w:rPr>
        <w:t>В исследованиях на животных волчья пасть наблюдалась у крыс, мышей, хомяк</w:t>
      </w:r>
      <w:r w:rsidR="00A5342D" w:rsidRPr="00F12F90">
        <w:rPr>
          <w:lang w:val="ru-RU"/>
        </w:rPr>
        <w:t xml:space="preserve">ов, кроликов, собак и приматов, </w:t>
      </w:r>
      <w:r w:rsidRPr="00F12F90">
        <w:rPr>
          <w:lang w:val="ru-RU"/>
        </w:rPr>
        <w:t>у лошадей и овец</w:t>
      </w:r>
      <w:r w:rsidR="00A5342D" w:rsidRPr="00F12F90">
        <w:rPr>
          <w:lang w:val="ru-RU"/>
        </w:rPr>
        <w:t xml:space="preserve"> – не наблюдалась. </w:t>
      </w:r>
      <w:r w:rsidRPr="00F12F90">
        <w:rPr>
          <w:lang w:val="ru-RU"/>
        </w:rPr>
        <w:t>В ряде случаев эти отклонения сочетались с пороками центральной нервной системы и сердца. Изменения в области мозга наблюдались у приматов после воздействия. Кроме того, может быть задерж</w:t>
      </w:r>
      <w:r w:rsidR="001E0472" w:rsidRPr="00F12F90">
        <w:rPr>
          <w:lang w:val="ru-RU"/>
        </w:rPr>
        <w:t>ка внутриутробного роста</w:t>
      </w:r>
      <w:r w:rsidRPr="00F12F90">
        <w:rPr>
          <w:lang w:val="ru-RU"/>
        </w:rPr>
        <w:t>. Все эти эффекты наблюдались при высоких дозах.</w:t>
      </w:r>
    </w:p>
    <w:p w14:paraId="211EAD95" w14:textId="77777777" w:rsidR="00B0449D" w:rsidRPr="00F12F90" w:rsidRDefault="00B0449D" w:rsidP="00D925FF">
      <w:pPr>
        <w:pStyle w:val="a4"/>
        <w:spacing w:before="0" w:beforeAutospacing="0" w:after="0" w:afterAutospacing="0"/>
        <w:jc w:val="both"/>
        <w:rPr>
          <w:lang w:val="ru-RU"/>
        </w:rPr>
      </w:pPr>
    </w:p>
    <w:p w14:paraId="381CC972" w14:textId="77777777" w:rsidR="004235C0" w:rsidRPr="00F12F90" w:rsidRDefault="006232D6" w:rsidP="00D925FF">
      <w:pPr>
        <w:pStyle w:val="a4"/>
        <w:spacing w:before="0" w:beforeAutospacing="0" w:after="0" w:afterAutospacing="0"/>
        <w:jc w:val="both"/>
        <w:rPr>
          <w:lang w:val="ru-RU"/>
        </w:rPr>
      </w:pPr>
      <w:r w:rsidRPr="00F12F90">
        <w:rPr>
          <w:b/>
          <w:lang w:val="ru-RU"/>
        </w:rPr>
        <w:t>6. ФАРМАЦЕВТИЧЕСКИЕ СВОЙСТВА</w:t>
      </w:r>
    </w:p>
    <w:p w14:paraId="4368E33F" w14:textId="1FB5A193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lang w:val="ru-RU"/>
        </w:rPr>
      </w:pPr>
      <w:r w:rsidRPr="00F12F90">
        <w:rPr>
          <w:b/>
          <w:lang w:val="ru-RU"/>
        </w:rPr>
        <w:t>6.1. П</w:t>
      </w:r>
      <w:r w:rsidR="006D4B31" w:rsidRPr="00F12F90">
        <w:rPr>
          <w:b/>
          <w:lang w:val="ru-RU"/>
        </w:rPr>
        <w:t>еречень вспомогательных веществ</w:t>
      </w:r>
    </w:p>
    <w:p w14:paraId="49DCA908" w14:textId="77777777" w:rsidR="001E0472" w:rsidRPr="00F12F90" w:rsidRDefault="001E0472" w:rsidP="001E0472">
      <w:pPr>
        <w:spacing w:line="276" w:lineRule="auto"/>
        <w:jc w:val="both"/>
        <w:rPr>
          <w:rFonts w:eastAsia="Calibri"/>
          <w:lang w:val="ru-RU"/>
        </w:rPr>
      </w:pPr>
      <w:r w:rsidRPr="00F12F90">
        <w:rPr>
          <w:rFonts w:eastAsia="Calibri"/>
          <w:bCs/>
          <w:caps/>
          <w:highlight w:val="lightGray"/>
          <w:lang w:val="ru-RU"/>
        </w:rPr>
        <w:t>[согласно НД РК]</w:t>
      </w:r>
    </w:p>
    <w:p w14:paraId="314D653C" w14:textId="77777777" w:rsidR="001E0472" w:rsidRPr="00F12F90" w:rsidRDefault="001E0472" w:rsidP="001E0472">
      <w:pPr>
        <w:tabs>
          <w:tab w:val="left" w:pos="7080"/>
        </w:tabs>
        <w:spacing w:line="276" w:lineRule="auto"/>
        <w:jc w:val="both"/>
        <w:rPr>
          <w:rFonts w:eastAsia="Calibri"/>
          <w:highlight w:val="lightGray"/>
          <w:lang w:val="ru-RU"/>
        </w:rPr>
      </w:pPr>
      <w:proofErr w:type="spellStart"/>
      <w:r w:rsidRPr="00F12F90">
        <w:rPr>
          <w:rFonts w:eastAsia="Calibri"/>
          <w:highlight w:val="lightGray"/>
          <w:lang w:val="ru-RU"/>
        </w:rPr>
        <w:t>xxxxx</w:t>
      </w:r>
      <w:proofErr w:type="spellEnd"/>
    </w:p>
    <w:p w14:paraId="013173A9" w14:textId="77777777" w:rsidR="001E0472" w:rsidRPr="00F12F90" w:rsidRDefault="001E0472" w:rsidP="001E0472">
      <w:pPr>
        <w:tabs>
          <w:tab w:val="left" w:pos="7080"/>
        </w:tabs>
        <w:spacing w:line="276" w:lineRule="auto"/>
        <w:jc w:val="both"/>
        <w:rPr>
          <w:rFonts w:eastAsia="Calibri"/>
          <w:highlight w:val="lightGray"/>
          <w:lang w:val="ru-RU"/>
        </w:rPr>
      </w:pPr>
      <w:proofErr w:type="spellStart"/>
      <w:r w:rsidRPr="00F12F90">
        <w:rPr>
          <w:rFonts w:eastAsia="Calibri"/>
          <w:highlight w:val="lightGray"/>
          <w:lang w:val="ru-RU"/>
        </w:rPr>
        <w:t>xxxxx</w:t>
      </w:r>
      <w:proofErr w:type="spellEnd"/>
    </w:p>
    <w:p w14:paraId="612ECB19" w14:textId="77777777" w:rsidR="001E0472" w:rsidRPr="00F12F90" w:rsidRDefault="001E0472" w:rsidP="001E0472">
      <w:pPr>
        <w:tabs>
          <w:tab w:val="left" w:pos="7080"/>
        </w:tabs>
        <w:spacing w:line="276" w:lineRule="auto"/>
        <w:jc w:val="both"/>
        <w:rPr>
          <w:rFonts w:eastAsia="Calibri"/>
          <w:highlight w:val="lightGray"/>
          <w:lang w:val="ru-RU"/>
        </w:rPr>
      </w:pPr>
      <w:proofErr w:type="spellStart"/>
      <w:r w:rsidRPr="00F12F90">
        <w:rPr>
          <w:rFonts w:eastAsia="Calibri"/>
          <w:highlight w:val="lightGray"/>
          <w:lang w:val="ru-RU"/>
        </w:rPr>
        <w:lastRenderedPageBreak/>
        <w:t>xxxxx</w:t>
      </w:r>
      <w:proofErr w:type="spellEnd"/>
    </w:p>
    <w:p w14:paraId="5B325A78" w14:textId="77777777" w:rsidR="001E0472" w:rsidRPr="00F12F90" w:rsidRDefault="001E0472" w:rsidP="001E0472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12F90">
        <w:rPr>
          <w:rFonts w:ascii="Times New Roman" w:eastAsia="Calibri" w:hAnsi="Times New Roman" w:cs="Times New Roman"/>
          <w:sz w:val="24"/>
          <w:szCs w:val="24"/>
          <w:highlight w:val="lightGray"/>
          <w:lang w:eastAsia="en-US"/>
        </w:rPr>
        <w:t>xxxxx</w:t>
      </w:r>
      <w:proofErr w:type="spellEnd"/>
    </w:p>
    <w:p w14:paraId="21E10249" w14:textId="77777777" w:rsidR="00E514F1" w:rsidRPr="00F12F90" w:rsidRDefault="00E514F1" w:rsidP="0013635B">
      <w:pPr>
        <w:jc w:val="both"/>
        <w:rPr>
          <w:lang w:val="ru-RU"/>
        </w:rPr>
      </w:pPr>
    </w:p>
    <w:p w14:paraId="042CB96D" w14:textId="706DB6EF" w:rsidR="006232D6" w:rsidRPr="00F12F90" w:rsidRDefault="006D4B31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6.2. Несовместимость</w:t>
      </w:r>
    </w:p>
    <w:p w14:paraId="42D24065" w14:textId="0CE71FEA" w:rsidR="00C11963" w:rsidRPr="00F12F90" w:rsidRDefault="00C11963" w:rsidP="00C11963">
      <w:pPr>
        <w:jc w:val="both"/>
        <w:rPr>
          <w:rFonts w:eastAsia="Times New Roman"/>
          <w:snapToGrid w:val="0"/>
          <w:lang w:val="ru-RU" w:eastAsia="ru-RU"/>
        </w:rPr>
      </w:pPr>
      <w:r w:rsidRPr="00F12F90">
        <w:rPr>
          <w:rFonts w:eastAsia="Times New Roman"/>
          <w:snapToGrid w:val="0"/>
          <w:lang w:val="ru-RU" w:eastAsia="ru-RU"/>
        </w:rPr>
        <w:t>Препарат не следует смешивать с другими преп</w:t>
      </w:r>
      <w:r w:rsidR="000F2457" w:rsidRPr="00F12F90">
        <w:rPr>
          <w:rFonts w:eastAsia="Times New Roman"/>
          <w:snapToGrid w:val="0"/>
          <w:lang w:val="ru-RU" w:eastAsia="ru-RU"/>
        </w:rPr>
        <w:t xml:space="preserve">аратами, кроме </w:t>
      </w:r>
      <w:proofErr w:type="gramStart"/>
      <w:r w:rsidR="000F2457" w:rsidRPr="00F12F90">
        <w:rPr>
          <w:rFonts w:eastAsia="Times New Roman"/>
          <w:snapToGrid w:val="0"/>
          <w:lang w:val="ru-RU" w:eastAsia="ru-RU"/>
        </w:rPr>
        <w:t>следующих</w:t>
      </w:r>
      <w:proofErr w:type="gramEnd"/>
      <w:r w:rsidR="000F2457" w:rsidRPr="00F12F90">
        <w:rPr>
          <w:rFonts w:eastAsia="Times New Roman"/>
          <w:snapToGrid w:val="0"/>
          <w:lang w:val="ru-RU" w:eastAsia="ru-RU"/>
        </w:rPr>
        <w:t>:</w:t>
      </w:r>
      <w:r w:rsidR="00A5342D" w:rsidRPr="00F12F90">
        <w:rPr>
          <w:rFonts w:eastAsia="Times New Roman"/>
          <w:snapToGrid w:val="0"/>
          <w:lang w:val="ru-RU" w:eastAsia="ru-RU"/>
        </w:rPr>
        <w:t xml:space="preserve"> </w:t>
      </w:r>
      <w:r w:rsidRPr="00F12F90">
        <w:rPr>
          <w:rFonts w:eastAsia="Times New Roman"/>
          <w:snapToGrid w:val="0"/>
          <w:lang w:val="ru-RU" w:eastAsia="ru-RU"/>
        </w:rPr>
        <w:t>0</w:t>
      </w:r>
      <w:r w:rsidR="00A9771D" w:rsidRPr="00F12F90">
        <w:rPr>
          <w:rFonts w:eastAsia="Times New Roman"/>
          <w:snapToGrid w:val="0"/>
          <w:lang w:val="ru-RU" w:eastAsia="ru-RU"/>
        </w:rPr>
        <w:t>.</w:t>
      </w:r>
      <w:r w:rsidRPr="00F12F90">
        <w:rPr>
          <w:rFonts w:eastAsia="Times New Roman"/>
          <w:snapToGrid w:val="0"/>
          <w:lang w:val="ru-RU" w:eastAsia="ru-RU"/>
        </w:rPr>
        <w:t>9 % раствор натрия хлорида или 5 % раствор глюкозы.</w:t>
      </w:r>
    </w:p>
    <w:p w14:paraId="16FD4C91" w14:textId="77777777" w:rsidR="00C11963" w:rsidRPr="00F12F90" w:rsidRDefault="00C11963" w:rsidP="00C11963">
      <w:pPr>
        <w:jc w:val="both"/>
        <w:rPr>
          <w:rFonts w:eastAsia="Times New Roman"/>
          <w:snapToGrid w:val="0"/>
          <w:lang w:val="ru-RU" w:eastAsia="ru-RU"/>
        </w:rPr>
      </w:pPr>
      <w:r w:rsidRPr="00F12F90">
        <w:rPr>
          <w:rFonts w:eastAsia="Times New Roman"/>
          <w:snapToGrid w:val="0"/>
          <w:lang w:val="ru-RU" w:eastAsia="ru-RU"/>
        </w:rPr>
        <w:t xml:space="preserve">При смешивании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дексаметазона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 с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хлорпромазином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дифенгидрамином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доксапрамом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доксорубицином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даунорубицином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идарубицином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гидроморфоном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ондансетроном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прохлорперазином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калия нитратом и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ванкомицином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 образуется осадок.</w:t>
      </w:r>
    </w:p>
    <w:p w14:paraId="0E6F2368" w14:textId="048CD19A" w:rsidR="00C11963" w:rsidRPr="00F12F90" w:rsidRDefault="00C11963" w:rsidP="00C11963">
      <w:pPr>
        <w:jc w:val="both"/>
        <w:rPr>
          <w:rFonts w:eastAsia="Times New Roman"/>
          <w:snapToGrid w:val="0"/>
          <w:lang w:val="ru-RU" w:eastAsia="ru-RU"/>
        </w:rPr>
      </w:pPr>
      <w:r w:rsidRPr="00F12F90">
        <w:rPr>
          <w:rFonts w:eastAsia="Times New Roman"/>
          <w:snapToGrid w:val="0"/>
          <w:lang w:val="ru-RU" w:eastAsia="ru-RU"/>
        </w:rPr>
        <w:t xml:space="preserve">Приблизительно 16 %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дексаметазона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 растворяется в 2</w:t>
      </w:r>
      <w:r w:rsidR="00A9771D" w:rsidRPr="00F12F90">
        <w:rPr>
          <w:rFonts w:eastAsia="Times New Roman"/>
          <w:snapToGrid w:val="0"/>
          <w:lang w:val="ru-RU" w:eastAsia="ru-RU"/>
        </w:rPr>
        <w:t>.</w:t>
      </w:r>
      <w:r w:rsidRPr="00F12F90">
        <w:rPr>
          <w:rFonts w:eastAsia="Times New Roman"/>
          <w:snapToGrid w:val="0"/>
          <w:lang w:val="ru-RU" w:eastAsia="ru-RU"/>
        </w:rPr>
        <w:t>5 % растворе глюкозы и 0</w:t>
      </w:r>
      <w:r w:rsidR="00A9771D" w:rsidRPr="00F12F90">
        <w:rPr>
          <w:rFonts w:eastAsia="Times New Roman"/>
          <w:snapToGrid w:val="0"/>
          <w:lang w:val="ru-RU" w:eastAsia="ru-RU"/>
        </w:rPr>
        <w:t>.</w:t>
      </w:r>
      <w:r w:rsidRPr="00F12F90">
        <w:rPr>
          <w:rFonts w:eastAsia="Times New Roman"/>
          <w:snapToGrid w:val="0"/>
          <w:lang w:val="ru-RU" w:eastAsia="ru-RU"/>
        </w:rPr>
        <w:t xml:space="preserve">9 % растворе натрия хлорида с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амикацином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>.</w:t>
      </w:r>
    </w:p>
    <w:p w14:paraId="58AE0041" w14:textId="0C53748E" w:rsidR="00C11963" w:rsidRPr="00F12F90" w:rsidRDefault="00C11963" w:rsidP="00C11963">
      <w:pPr>
        <w:jc w:val="both"/>
        <w:rPr>
          <w:rFonts w:eastAsia="Times New Roman"/>
          <w:snapToGrid w:val="0"/>
          <w:lang w:val="ru-RU" w:eastAsia="ru-RU"/>
        </w:rPr>
      </w:pPr>
      <w:r w:rsidRPr="00F12F90">
        <w:rPr>
          <w:rFonts w:eastAsia="Times New Roman"/>
          <w:snapToGrid w:val="0"/>
          <w:lang w:val="ru-RU" w:eastAsia="ru-RU"/>
        </w:rPr>
        <w:t xml:space="preserve">Некоторые лекарственные </w:t>
      </w:r>
      <w:r w:rsidR="005D0271" w:rsidRPr="00F12F90">
        <w:rPr>
          <w:rFonts w:eastAsia="Times New Roman"/>
          <w:snapToGrid w:val="0"/>
          <w:lang w:val="ru-RU" w:eastAsia="ru-RU"/>
        </w:rPr>
        <w:t>препараты</w:t>
      </w:r>
      <w:r w:rsidRPr="00F12F90">
        <w:rPr>
          <w:rFonts w:eastAsia="Times New Roman"/>
          <w:snapToGrid w:val="0"/>
          <w:lang w:val="ru-RU" w:eastAsia="ru-RU"/>
        </w:rPr>
        <w:t xml:space="preserve">, такие как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лоразепам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следует смешивать с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дексаметазоном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 в стеклянных флаконах, а не в пластиковых пакетах (концентрация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лоразепама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 уменьшается до значений ниже 90 % за 3-4 часа хранения в пакетах </w:t>
      </w:r>
      <w:r w:rsidR="00A5342D" w:rsidRPr="00F12F90">
        <w:rPr>
          <w:rFonts w:eastAsia="Times New Roman"/>
          <w:snapToGrid w:val="0"/>
          <w:lang w:val="ru-RU" w:eastAsia="ru-RU"/>
        </w:rPr>
        <w:t xml:space="preserve">из поливинилхлорида </w:t>
      </w:r>
      <w:r w:rsidRPr="00F12F90">
        <w:rPr>
          <w:rFonts w:eastAsia="Times New Roman"/>
          <w:snapToGrid w:val="0"/>
          <w:lang w:val="ru-RU" w:eastAsia="ru-RU"/>
        </w:rPr>
        <w:t>при комнатной температуре).</w:t>
      </w:r>
    </w:p>
    <w:p w14:paraId="264CB5A6" w14:textId="5594133D" w:rsidR="00C11963" w:rsidRPr="00F12F90" w:rsidRDefault="00C11963" w:rsidP="00C11963">
      <w:pPr>
        <w:jc w:val="both"/>
        <w:rPr>
          <w:rFonts w:eastAsia="Times New Roman"/>
          <w:snapToGrid w:val="0"/>
          <w:lang w:val="ru-RU" w:eastAsia="ru-RU"/>
        </w:rPr>
      </w:pPr>
      <w:r w:rsidRPr="00F12F90">
        <w:rPr>
          <w:rFonts w:eastAsia="Times New Roman"/>
          <w:snapToGrid w:val="0"/>
          <w:lang w:val="ru-RU" w:eastAsia="ru-RU"/>
        </w:rPr>
        <w:t xml:space="preserve">Некоторые лекарственные </w:t>
      </w:r>
      <w:r w:rsidR="005D0271" w:rsidRPr="00F12F90">
        <w:rPr>
          <w:rFonts w:eastAsia="Times New Roman"/>
          <w:snapToGrid w:val="0"/>
          <w:lang w:val="ru-RU" w:eastAsia="ru-RU"/>
        </w:rPr>
        <w:t>препараты</w:t>
      </w:r>
      <w:r w:rsidRPr="00F12F90">
        <w:rPr>
          <w:rFonts w:eastAsia="Times New Roman"/>
          <w:snapToGrid w:val="0"/>
          <w:lang w:val="ru-RU" w:eastAsia="ru-RU"/>
        </w:rPr>
        <w:t xml:space="preserve">, такие как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метапаминол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, имеют так называемую «несовместимость, которая развивается медленно» – развивается в течение суток при смешивании с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дексаметазоном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. </w:t>
      </w:r>
    </w:p>
    <w:p w14:paraId="67E17AB1" w14:textId="3B980688" w:rsidR="00C11963" w:rsidRPr="00F12F90" w:rsidRDefault="00C11963" w:rsidP="00C11963">
      <w:pPr>
        <w:jc w:val="both"/>
        <w:rPr>
          <w:rFonts w:eastAsia="Times New Roman"/>
          <w:snapToGrid w:val="0"/>
          <w:lang w:val="ru-RU" w:eastAsia="ru-RU"/>
        </w:rPr>
      </w:pPr>
      <w:proofErr w:type="spellStart"/>
      <w:r w:rsidRPr="00F12F90">
        <w:rPr>
          <w:rFonts w:eastAsia="Times New Roman"/>
          <w:snapToGrid w:val="0"/>
          <w:lang w:val="ru-RU" w:eastAsia="ru-RU"/>
        </w:rPr>
        <w:t>Дексаметазон</w:t>
      </w:r>
      <w:proofErr w:type="spellEnd"/>
      <w:r w:rsidRPr="00F12F90">
        <w:rPr>
          <w:rFonts w:eastAsia="Times New Roman"/>
          <w:snapToGrid w:val="0"/>
          <w:lang w:val="ru-RU" w:eastAsia="ru-RU"/>
        </w:rPr>
        <w:t xml:space="preserve"> с </w:t>
      </w:r>
      <w:proofErr w:type="spellStart"/>
      <w:r w:rsidRPr="00F12F90">
        <w:rPr>
          <w:rFonts w:eastAsia="Times New Roman"/>
          <w:snapToGrid w:val="0"/>
          <w:lang w:val="ru-RU" w:eastAsia="ru-RU"/>
        </w:rPr>
        <w:t>гликопиролатом</w:t>
      </w:r>
      <w:proofErr w:type="spellEnd"/>
      <w:r w:rsidRPr="00F12F90">
        <w:rPr>
          <w:rFonts w:eastAsia="Times New Roman"/>
          <w:snapToGrid w:val="0"/>
          <w:lang w:val="ru-RU" w:eastAsia="ru-RU"/>
        </w:rPr>
        <w:t>: значение рН окончательного раствора равно 6</w:t>
      </w:r>
      <w:r w:rsidR="00A9771D" w:rsidRPr="00F12F90">
        <w:rPr>
          <w:rFonts w:eastAsia="Times New Roman"/>
          <w:snapToGrid w:val="0"/>
          <w:lang w:val="ru-RU" w:eastAsia="ru-RU"/>
        </w:rPr>
        <w:t>.</w:t>
      </w:r>
      <w:r w:rsidRPr="00F12F90">
        <w:rPr>
          <w:rFonts w:eastAsia="Times New Roman"/>
          <w:snapToGrid w:val="0"/>
          <w:lang w:val="ru-RU" w:eastAsia="ru-RU"/>
        </w:rPr>
        <w:t>4, что выходит за пределы диапазона стабильности.</w:t>
      </w:r>
    </w:p>
    <w:p w14:paraId="50215F45" w14:textId="77777777" w:rsidR="00E514F1" w:rsidRPr="00F12F90" w:rsidRDefault="00E514F1" w:rsidP="00C11963">
      <w:pPr>
        <w:jc w:val="both"/>
        <w:rPr>
          <w:rFonts w:eastAsia="Times New Roman"/>
          <w:snapToGrid w:val="0"/>
          <w:lang w:val="ru-RU" w:eastAsia="ru-RU"/>
        </w:rPr>
      </w:pPr>
    </w:p>
    <w:p w14:paraId="61BD1294" w14:textId="3C0FD627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strike/>
          <w:color w:val="FF0000"/>
          <w:lang w:val="ru-RU"/>
        </w:rPr>
      </w:pPr>
      <w:r w:rsidRPr="00F12F90">
        <w:rPr>
          <w:b/>
          <w:lang w:val="ru-RU"/>
        </w:rPr>
        <w:t xml:space="preserve">6.3. Срок годности </w:t>
      </w:r>
    </w:p>
    <w:p w14:paraId="33B1CB70" w14:textId="77777777" w:rsidR="00AD7343" w:rsidRPr="00F12F90" w:rsidRDefault="00AD7343" w:rsidP="00AD7343">
      <w:pPr>
        <w:ind w:right="-2"/>
        <w:jc w:val="both"/>
        <w:rPr>
          <w:b/>
          <w:noProof/>
          <w:lang w:val="ru-RU"/>
        </w:rPr>
      </w:pPr>
      <w:r w:rsidRPr="00F12F90">
        <w:rPr>
          <w:bCs/>
          <w:caps/>
          <w:highlight w:val="lightGray"/>
          <w:lang w:val="ru-RU"/>
        </w:rPr>
        <w:t>[согласно НД РК]</w:t>
      </w:r>
      <w:r w:rsidRPr="00F12F90">
        <w:rPr>
          <w:bCs/>
          <w:noProof/>
          <w:lang w:val="ru-RU"/>
        </w:rPr>
        <w:t xml:space="preserve"> </w:t>
      </w:r>
      <w:r w:rsidRPr="00F12F90">
        <w:rPr>
          <w:noProof/>
          <w:lang w:val="ru-RU"/>
        </w:rPr>
        <w:t xml:space="preserve"> </w:t>
      </w:r>
    </w:p>
    <w:p w14:paraId="6F50AEB0" w14:textId="079F2D12" w:rsidR="00D925FF" w:rsidRPr="00F12F90" w:rsidRDefault="00D925FF" w:rsidP="00D925FF">
      <w:pPr>
        <w:jc w:val="both"/>
        <w:rPr>
          <w:lang w:val="ru-RU"/>
        </w:rPr>
      </w:pPr>
      <w:r w:rsidRPr="00F12F90">
        <w:rPr>
          <w:lang w:val="ru-RU"/>
        </w:rPr>
        <w:t xml:space="preserve">Не применять </w:t>
      </w:r>
      <w:r w:rsidR="007F6DE2" w:rsidRPr="00F12F90">
        <w:rPr>
          <w:lang w:val="ru-RU"/>
        </w:rPr>
        <w:t xml:space="preserve">по истечении </w:t>
      </w:r>
      <w:r w:rsidRPr="00F12F90">
        <w:rPr>
          <w:lang w:val="ru-RU"/>
        </w:rPr>
        <w:t>срока годности</w:t>
      </w:r>
      <w:r w:rsidR="00937DD7" w:rsidRPr="00F12F90">
        <w:rPr>
          <w:lang w:val="ru-RU"/>
        </w:rPr>
        <w:t>.</w:t>
      </w:r>
    </w:p>
    <w:p w14:paraId="2B50AF1D" w14:textId="77777777" w:rsidR="00E514F1" w:rsidRPr="00F12F90" w:rsidRDefault="00E514F1" w:rsidP="00D925FF">
      <w:pPr>
        <w:jc w:val="both"/>
        <w:rPr>
          <w:strike/>
          <w:color w:val="FF0000"/>
          <w:lang w:val="ru-RU"/>
        </w:rPr>
      </w:pPr>
    </w:p>
    <w:p w14:paraId="054A90D3" w14:textId="6CFB8CA9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6.4. Особые мер</w:t>
      </w:r>
      <w:r w:rsidR="006D4B31" w:rsidRPr="00F12F90">
        <w:rPr>
          <w:b/>
          <w:lang w:val="ru-RU"/>
        </w:rPr>
        <w:t>ы предосторожности при хранении</w:t>
      </w:r>
    </w:p>
    <w:p w14:paraId="27714059" w14:textId="43469404" w:rsidR="00AD7343" w:rsidRPr="00F12F90" w:rsidRDefault="00AD7343" w:rsidP="001E0472">
      <w:pPr>
        <w:ind w:right="57"/>
        <w:jc w:val="both"/>
        <w:rPr>
          <w:lang w:val="ru-RU"/>
        </w:rPr>
      </w:pPr>
      <w:r w:rsidRPr="00F12F90">
        <w:rPr>
          <w:bCs/>
          <w:caps/>
          <w:highlight w:val="lightGray"/>
          <w:lang w:val="ru-RU"/>
        </w:rPr>
        <w:t>[</w:t>
      </w:r>
      <w:r w:rsidR="001E0472" w:rsidRPr="00F12F90">
        <w:rPr>
          <w:bCs/>
          <w:caps/>
          <w:highlight w:val="lightGray"/>
          <w:lang w:val="ru-RU"/>
        </w:rPr>
        <w:t>условия хранения согласно НД РК</w:t>
      </w:r>
      <w:r w:rsidRPr="00F12F90">
        <w:rPr>
          <w:bCs/>
          <w:caps/>
          <w:highlight w:val="lightGray"/>
          <w:lang w:val="ru-RU"/>
        </w:rPr>
        <w:t>]</w:t>
      </w:r>
      <w:r w:rsidRPr="00F12F90">
        <w:rPr>
          <w:bCs/>
          <w:noProof/>
          <w:lang w:val="ru-RU"/>
        </w:rPr>
        <w:t xml:space="preserve"> </w:t>
      </w:r>
      <w:r w:rsidRPr="00F12F90">
        <w:rPr>
          <w:noProof/>
          <w:lang w:val="ru-RU"/>
        </w:rPr>
        <w:t xml:space="preserve"> </w:t>
      </w:r>
    </w:p>
    <w:p w14:paraId="3191A4E7" w14:textId="46D6546A" w:rsidR="00D925FF" w:rsidRPr="00F12F90" w:rsidRDefault="00D925FF" w:rsidP="00D925FF">
      <w:pPr>
        <w:autoSpaceDE w:val="0"/>
        <w:autoSpaceDN w:val="0"/>
        <w:adjustRightInd w:val="0"/>
        <w:jc w:val="both"/>
        <w:rPr>
          <w:lang w:val="ru-RU"/>
        </w:rPr>
      </w:pPr>
      <w:r w:rsidRPr="00F12F90">
        <w:rPr>
          <w:lang w:val="ru-RU"/>
        </w:rPr>
        <w:t>Хранить в недоступном для детей месте</w:t>
      </w:r>
      <w:r w:rsidR="007F6DE2" w:rsidRPr="00F12F90">
        <w:rPr>
          <w:lang w:val="ru-RU"/>
        </w:rPr>
        <w:t>!</w:t>
      </w:r>
    </w:p>
    <w:p w14:paraId="515AA53B" w14:textId="77777777" w:rsidR="00E514F1" w:rsidRPr="00F12F90" w:rsidRDefault="00E514F1" w:rsidP="00D925FF">
      <w:pPr>
        <w:autoSpaceDE w:val="0"/>
        <w:autoSpaceDN w:val="0"/>
        <w:adjustRightInd w:val="0"/>
        <w:jc w:val="both"/>
        <w:rPr>
          <w:lang w:val="ru-RU"/>
        </w:rPr>
      </w:pPr>
    </w:p>
    <w:p w14:paraId="5485A2E4" w14:textId="1F2A3F0A" w:rsidR="006232D6" w:rsidRPr="00F12F90" w:rsidRDefault="006232D6" w:rsidP="00682483">
      <w:pPr>
        <w:pStyle w:val="a4"/>
        <w:spacing w:before="0" w:beforeAutospacing="0" w:after="0" w:afterAutospacing="0"/>
        <w:jc w:val="both"/>
        <w:rPr>
          <w:b/>
          <w:strike/>
          <w:color w:val="FF0000"/>
          <w:highlight w:val="yellow"/>
          <w:lang w:val="ru-RU"/>
        </w:rPr>
      </w:pPr>
      <w:r w:rsidRPr="00F12F90">
        <w:rPr>
          <w:b/>
          <w:lang w:val="ru-RU"/>
        </w:rPr>
        <w:t xml:space="preserve">6.5. </w:t>
      </w:r>
      <w:r w:rsidR="004C3A3F" w:rsidRPr="00F12F90">
        <w:rPr>
          <w:b/>
          <w:lang w:val="ru-RU"/>
        </w:rPr>
        <w:t>Форма выпуска и</w:t>
      </w:r>
      <w:r w:rsidRPr="00F12F90">
        <w:rPr>
          <w:b/>
          <w:lang w:val="ru-RU"/>
        </w:rPr>
        <w:t xml:space="preserve"> упаковк</w:t>
      </w:r>
      <w:r w:rsidR="004C3A3F" w:rsidRPr="00F12F90">
        <w:rPr>
          <w:b/>
          <w:lang w:val="ru-RU"/>
        </w:rPr>
        <w:t>а</w:t>
      </w:r>
      <w:r w:rsidRPr="00F12F90">
        <w:rPr>
          <w:b/>
          <w:lang w:val="ru-RU"/>
        </w:rPr>
        <w:t xml:space="preserve"> </w:t>
      </w:r>
    </w:p>
    <w:p w14:paraId="44EF4A1F" w14:textId="77777777" w:rsidR="001E0472" w:rsidRPr="00F12F90" w:rsidRDefault="001E0472" w:rsidP="001E0472">
      <w:pPr>
        <w:pStyle w:val="ConsPlusNormal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F12F90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[Описание упаковки согласно НД РК]</w:t>
      </w:r>
    </w:p>
    <w:p w14:paraId="1D819D08" w14:textId="77777777" w:rsidR="00E514F1" w:rsidRPr="00F12F90" w:rsidRDefault="00E514F1" w:rsidP="00D925FF">
      <w:pPr>
        <w:pStyle w:val="a4"/>
        <w:spacing w:before="0" w:beforeAutospacing="0" w:after="0" w:afterAutospacing="0"/>
        <w:jc w:val="both"/>
        <w:rPr>
          <w:lang w:val="ru-RU"/>
        </w:rPr>
      </w:pPr>
    </w:p>
    <w:p w14:paraId="2D454E80" w14:textId="065E570D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6.6</w:t>
      </w:r>
      <w:r w:rsidR="00862C8C" w:rsidRPr="00F12F90">
        <w:rPr>
          <w:b/>
          <w:lang w:val="ru-RU"/>
        </w:rPr>
        <w:t xml:space="preserve">. </w:t>
      </w:r>
      <w:r w:rsidRPr="00F12F90">
        <w:rPr>
          <w:b/>
          <w:lang w:val="ru-RU"/>
        </w:rPr>
        <w:t>Особые меры предосторожности при уничтожении использованного лекарственного препарата или отходов, полученных после применения лекарствен</w:t>
      </w:r>
      <w:r w:rsidR="00937DD7" w:rsidRPr="00F12F90">
        <w:rPr>
          <w:b/>
          <w:lang w:val="ru-RU"/>
        </w:rPr>
        <w:t>ного препарата или работы с ним</w:t>
      </w:r>
    </w:p>
    <w:p w14:paraId="21177BCA" w14:textId="109814DB" w:rsidR="00563536" w:rsidRPr="00F12F90" w:rsidRDefault="00CE5E61" w:rsidP="00563536">
      <w:pPr>
        <w:jc w:val="both"/>
        <w:rPr>
          <w:lang w:val="ru-RU"/>
        </w:rPr>
      </w:pPr>
      <w:proofErr w:type="spellStart"/>
      <w:r w:rsidRPr="00F12F90">
        <w:rPr>
          <w:lang w:val="ru-RU"/>
        </w:rPr>
        <w:t>Дексаметазон</w:t>
      </w:r>
      <w:proofErr w:type="spellEnd"/>
      <w:r w:rsidR="0072335F" w:rsidRPr="00F12F90">
        <w:rPr>
          <w:lang w:val="ru-RU"/>
        </w:rPr>
        <w:t xml:space="preserve"> следует вводить внутривенно по возможности непосредственно или вводить в </w:t>
      </w:r>
      <w:proofErr w:type="spellStart"/>
      <w:r w:rsidR="0072335F" w:rsidRPr="00F12F90">
        <w:rPr>
          <w:lang w:val="ru-RU"/>
        </w:rPr>
        <w:t>инфузионную</w:t>
      </w:r>
      <w:proofErr w:type="spellEnd"/>
      <w:r w:rsidR="0072335F" w:rsidRPr="00F12F90">
        <w:rPr>
          <w:lang w:val="ru-RU"/>
        </w:rPr>
        <w:t xml:space="preserve"> систему. Раствор для инъекций совместим со следующими </w:t>
      </w:r>
      <w:proofErr w:type="spellStart"/>
      <w:r w:rsidR="0072335F" w:rsidRPr="00F12F90">
        <w:rPr>
          <w:lang w:val="ru-RU"/>
        </w:rPr>
        <w:t>инфузионными</w:t>
      </w:r>
      <w:proofErr w:type="spellEnd"/>
      <w:r w:rsidR="0072335F" w:rsidRPr="00F12F90">
        <w:rPr>
          <w:lang w:val="ru-RU"/>
        </w:rPr>
        <w:t xml:space="preserve"> растворами (каждого по 250 и 500 мл) и предназначен д</w:t>
      </w:r>
      <w:r w:rsidR="00563536" w:rsidRPr="00F12F90">
        <w:rPr>
          <w:lang w:val="ru-RU"/>
        </w:rPr>
        <w:t>ля приема в течение 24 часов:</w:t>
      </w:r>
    </w:p>
    <w:p w14:paraId="62A3EA82" w14:textId="2AFB56FD" w:rsidR="00563536" w:rsidRPr="00F12F90" w:rsidRDefault="00563536" w:rsidP="00563536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1E0472" w:rsidRPr="00F12F90">
        <w:rPr>
          <w:lang w:val="ru-RU"/>
        </w:rPr>
        <w:t xml:space="preserve"> </w:t>
      </w:r>
      <w:r w:rsidRPr="00F12F90">
        <w:rPr>
          <w:lang w:val="ru-RU"/>
        </w:rPr>
        <w:t>и</w:t>
      </w:r>
      <w:r w:rsidR="0072335F" w:rsidRPr="00F12F90">
        <w:rPr>
          <w:lang w:val="ru-RU"/>
        </w:rPr>
        <w:t>зотонический солевой раствор</w:t>
      </w:r>
      <w:r w:rsidRPr="00F12F90">
        <w:rPr>
          <w:lang w:val="ru-RU"/>
        </w:rPr>
        <w:t>;</w:t>
      </w:r>
    </w:p>
    <w:p w14:paraId="51BDF7DE" w14:textId="0744E594" w:rsidR="00563536" w:rsidRPr="00F12F90" w:rsidRDefault="00563536" w:rsidP="00563536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1E0472" w:rsidRPr="00F12F90">
        <w:rPr>
          <w:lang w:val="ru-RU"/>
        </w:rPr>
        <w:t xml:space="preserve"> </w:t>
      </w:r>
      <w:r w:rsidR="0072335F" w:rsidRPr="00F12F90">
        <w:rPr>
          <w:lang w:val="ru-RU"/>
        </w:rPr>
        <w:t xml:space="preserve">раствор </w:t>
      </w:r>
      <w:proofErr w:type="spellStart"/>
      <w:r w:rsidR="0072335F" w:rsidRPr="00F12F90">
        <w:rPr>
          <w:lang w:val="ru-RU"/>
        </w:rPr>
        <w:t>Рингера</w:t>
      </w:r>
      <w:proofErr w:type="spellEnd"/>
      <w:r w:rsidRPr="00F12F90">
        <w:rPr>
          <w:lang w:val="ru-RU"/>
        </w:rPr>
        <w:t>;</w:t>
      </w:r>
    </w:p>
    <w:p w14:paraId="47C72065" w14:textId="7928250C" w:rsidR="00563536" w:rsidRPr="00F12F90" w:rsidRDefault="00563536" w:rsidP="00563536">
      <w:pPr>
        <w:jc w:val="both"/>
        <w:rPr>
          <w:lang w:val="ru-RU"/>
        </w:rPr>
      </w:pPr>
      <w:r w:rsidRPr="00F12F90">
        <w:rPr>
          <w:lang w:val="ru-RU"/>
        </w:rPr>
        <w:t>-</w:t>
      </w:r>
      <w:r w:rsidR="001E0472" w:rsidRPr="00F12F90">
        <w:rPr>
          <w:lang w:val="ru-RU"/>
        </w:rPr>
        <w:t xml:space="preserve"> </w:t>
      </w:r>
      <w:r w:rsidRPr="00F12F90">
        <w:rPr>
          <w:lang w:val="ru-RU"/>
        </w:rPr>
        <w:t>раствор глюкозы 5%.</w:t>
      </w:r>
    </w:p>
    <w:p w14:paraId="12C9A917" w14:textId="5994E01D" w:rsidR="0072335F" w:rsidRPr="00F12F90" w:rsidRDefault="00563536" w:rsidP="00563536">
      <w:pPr>
        <w:jc w:val="both"/>
        <w:rPr>
          <w:lang w:val="ru-RU"/>
        </w:rPr>
      </w:pPr>
      <w:r w:rsidRPr="00F12F90">
        <w:rPr>
          <w:lang w:val="ru-RU"/>
        </w:rPr>
        <w:t>П</w:t>
      </w:r>
      <w:r w:rsidR="0072335F" w:rsidRPr="00F12F90">
        <w:rPr>
          <w:lang w:val="ru-RU"/>
        </w:rPr>
        <w:t xml:space="preserve">ри сочетании с </w:t>
      </w:r>
      <w:proofErr w:type="spellStart"/>
      <w:r w:rsidR="0072335F" w:rsidRPr="00F12F90">
        <w:rPr>
          <w:lang w:val="ru-RU"/>
        </w:rPr>
        <w:t>инфузионными</w:t>
      </w:r>
      <w:proofErr w:type="spellEnd"/>
      <w:r w:rsidR="0072335F" w:rsidRPr="00F12F90">
        <w:rPr>
          <w:lang w:val="ru-RU"/>
        </w:rPr>
        <w:t xml:space="preserve"> растворами необходимо соблюдать информацию от соответствующего поставщика об их </w:t>
      </w:r>
      <w:proofErr w:type="spellStart"/>
      <w:r w:rsidR="0072335F" w:rsidRPr="00F12F90">
        <w:rPr>
          <w:lang w:val="ru-RU"/>
        </w:rPr>
        <w:t>инфузионных</w:t>
      </w:r>
      <w:proofErr w:type="spellEnd"/>
      <w:r w:rsidR="0072335F" w:rsidRPr="00F12F90">
        <w:rPr>
          <w:lang w:val="ru-RU"/>
        </w:rPr>
        <w:t xml:space="preserve"> растворах, включая совместимость, противопоказания, </w:t>
      </w:r>
      <w:r w:rsidR="00E245A3" w:rsidRPr="00F12F90">
        <w:rPr>
          <w:lang w:val="ru-RU"/>
        </w:rPr>
        <w:t>нежелательные реакции</w:t>
      </w:r>
      <w:r w:rsidR="0072335F" w:rsidRPr="00F12F90">
        <w:rPr>
          <w:lang w:val="ru-RU"/>
        </w:rPr>
        <w:t xml:space="preserve"> и взаимодействия. Любой неиспользованный лекарственный препарат или отходы следует утилизировать в соответствии с местными требованиями.</w:t>
      </w:r>
    </w:p>
    <w:p w14:paraId="62942DE1" w14:textId="77777777" w:rsidR="00937DD7" w:rsidRPr="00F12F90" w:rsidRDefault="00937DD7" w:rsidP="00937DD7">
      <w:pPr>
        <w:autoSpaceDE w:val="0"/>
        <w:autoSpaceDN w:val="0"/>
        <w:adjustRightInd w:val="0"/>
        <w:rPr>
          <w:rFonts w:eastAsia="Calibri"/>
          <w:b/>
          <w:bCs/>
          <w:lang w:val="ru-RU" w:eastAsia="en-US"/>
        </w:rPr>
      </w:pPr>
      <w:r w:rsidRPr="00F12F90">
        <w:rPr>
          <w:rFonts w:eastAsia="Calibri"/>
          <w:b/>
          <w:bCs/>
          <w:lang w:val="ru-RU" w:eastAsia="en-US"/>
        </w:rPr>
        <w:t xml:space="preserve">6.7 Условия отпуска из аптек </w:t>
      </w:r>
    </w:p>
    <w:p w14:paraId="1E9C84E7" w14:textId="3E6EC72A" w:rsidR="001E046F" w:rsidRPr="00F12F90" w:rsidRDefault="003821A5" w:rsidP="00413B6B">
      <w:pPr>
        <w:autoSpaceDE w:val="0"/>
        <w:autoSpaceDN w:val="0"/>
        <w:jc w:val="both"/>
        <w:rPr>
          <w:bCs/>
          <w:lang w:val="ru-RU" w:eastAsia="ru-RU"/>
        </w:rPr>
      </w:pPr>
      <w:r w:rsidRPr="00F12F90">
        <w:rPr>
          <w:bCs/>
          <w:lang w:val="ru-RU" w:eastAsia="ru-RU"/>
        </w:rPr>
        <w:t>По рецепту</w:t>
      </w:r>
    </w:p>
    <w:p w14:paraId="1071F228" w14:textId="77777777" w:rsidR="00E514F1" w:rsidRPr="00F12F90" w:rsidRDefault="00E514F1" w:rsidP="00413B6B">
      <w:pPr>
        <w:autoSpaceDE w:val="0"/>
        <w:autoSpaceDN w:val="0"/>
        <w:jc w:val="both"/>
        <w:rPr>
          <w:rFonts w:eastAsia="Times New Roman"/>
          <w:b/>
          <w:bCs/>
          <w:lang w:val="ru-RU" w:eastAsia="ru-RU"/>
        </w:rPr>
      </w:pPr>
    </w:p>
    <w:p w14:paraId="61B04F69" w14:textId="77777777" w:rsidR="00611D4A" w:rsidRPr="00F12F90" w:rsidRDefault="006232D6" w:rsidP="00611D4A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7. ДЕРЖАТЕЛЬ РЕГИСТРАЦИОННОГО УДОСТОВЕРЕНИЯ</w:t>
      </w:r>
    </w:p>
    <w:p w14:paraId="4B040557" w14:textId="77777777" w:rsidR="00AD7343" w:rsidRPr="00F12F90" w:rsidRDefault="00AD7343" w:rsidP="00AD7343">
      <w:pPr>
        <w:jc w:val="both"/>
        <w:rPr>
          <w:noProof/>
          <w:lang w:val="ru-RU"/>
        </w:rPr>
      </w:pPr>
      <w:r w:rsidRPr="00F12F90">
        <w:rPr>
          <w:noProof/>
          <w:highlight w:val="lightGray"/>
          <w:lang w:val="ru-RU"/>
        </w:rPr>
        <w:lastRenderedPageBreak/>
        <w:t>[Заполняется на национальном уровне]</w:t>
      </w:r>
    </w:p>
    <w:p w14:paraId="2878B5CD" w14:textId="77777777" w:rsidR="00E65A72" w:rsidRPr="00F12F90" w:rsidRDefault="00E65A72" w:rsidP="00611D4A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6D51D539" w14:textId="04E42F38" w:rsidR="00611D4A" w:rsidRPr="00F12F90" w:rsidRDefault="00563536" w:rsidP="00611D4A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 xml:space="preserve">7.1. </w:t>
      </w:r>
      <w:r w:rsidR="006232D6" w:rsidRPr="00F12F90">
        <w:rPr>
          <w:b/>
          <w:lang w:val="ru-RU"/>
        </w:rPr>
        <w:t xml:space="preserve">ПРЕДСТАВИТЕЛЬ ДЕРЖАТЕЛЯ </w:t>
      </w:r>
      <w:r w:rsidR="00937DD7" w:rsidRPr="00F12F90">
        <w:rPr>
          <w:b/>
          <w:lang w:val="ru-RU"/>
        </w:rPr>
        <w:t>РЕГИСТРАЦИОННОГО УДОСТОВЕРЕНИЯ</w:t>
      </w:r>
    </w:p>
    <w:p w14:paraId="744DA65B" w14:textId="77777777" w:rsidR="00AD7343" w:rsidRPr="00F12F90" w:rsidRDefault="00AD7343" w:rsidP="00AD7343">
      <w:pPr>
        <w:jc w:val="both"/>
        <w:rPr>
          <w:noProof/>
          <w:lang w:val="ru-RU"/>
        </w:rPr>
      </w:pPr>
      <w:r w:rsidRPr="00F12F90">
        <w:rPr>
          <w:noProof/>
          <w:highlight w:val="lightGray"/>
          <w:lang w:val="ru-RU"/>
        </w:rPr>
        <w:t>[Заполняется на национальном уровне]</w:t>
      </w:r>
    </w:p>
    <w:p w14:paraId="638F54A7" w14:textId="77777777" w:rsidR="00862C8C" w:rsidRPr="00F12F90" w:rsidRDefault="00AC5778" w:rsidP="00D925FF">
      <w:pPr>
        <w:pStyle w:val="a4"/>
        <w:spacing w:before="0" w:beforeAutospacing="0" w:after="0" w:afterAutospacing="0"/>
        <w:jc w:val="both"/>
        <w:rPr>
          <w:lang w:val="ru-RU"/>
        </w:rPr>
      </w:pPr>
      <w:r w:rsidRPr="00F12F90">
        <w:rPr>
          <w:lang w:val="ru-RU"/>
        </w:rPr>
        <w:t> </w:t>
      </w:r>
    </w:p>
    <w:p w14:paraId="0CAF8541" w14:textId="77777777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8. НОМЕР РЕГИСТРАЦИОННОГО УДОСТОВЕРЕНИЯ</w:t>
      </w:r>
    </w:p>
    <w:p w14:paraId="7D0E782E" w14:textId="77777777" w:rsidR="001E0472" w:rsidRPr="00F12F90" w:rsidRDefault="001E0472" w:rsidP="001E0472">
      <w:pPr>
        <w:jc w:val="both"/>
        <w:rPr>
          <w:noProof/>
          <w:lang w:val="ru-RU"/>
        </w:rPr>
      </w:pPr>
      <w:r w:rsidRPr="00F12F90">
        <w:rPr>
          <w:noProof/>
          <w:highlight w:val="lightGray"/>
          <w:lang w:val="ru-RU"/>
        </w:rPr>
        <w:t>[Заполняется на национальном уровне]</w:t>
      </w:r>
    </w:p>
    <w:p w14:paraId="7ACEFE2B" w14:textId="77777777" w:rsidR="00C145D0" w:rsidRPr="00F12F90" w:rsidRDefault="00C145D0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2C8AAAC0" w14:textId="743044DE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9. ДАТА ПЕРВИЧНОЙ РЕГИСТРАЦИИ (ПОДТВЕРЖДЕНИЯ РЕГИСТРАЦИИ, ПЕРЕРЕГИСТРАЦИИ)</w:t>
      </w:r>
    </w:p>
    <w:p w14:paraId="2F258994" w14:textId="77777777" w:rsidR="001E0472" w:rsidRPr="00F12F90" w:rsidRDefault="001E0472" w:rsidP="001E0472">
      <w:pPr>
        <w:jc w:val="both"/>
        <w:rPr>
          <w:noProof/>
          <w:lang w:val="ru-RU"/>
        </w:rPr>
      </w:pPr>
      <w:r w:rsidRPr="00F12F90">
        <w:rPr>
          <w:noProof/>
          <w:highlight w:val="lightGray"/>
          <w:lang w:val="ru-RU"/>
        </w:rPr>
        <w:t>[Заполняется на национальном уровне]</w:t>
      </w:r>
    </w:p>
    <w:p w14:paraId="3C8E1D2A" w14:textId="77777777" w:rsidR="00611D4A" w:rsidRPr="00F12F90" w:rsidRDefault="00611D4A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14:paraId="54937C70" w14:textId="0C31EE3C" w:rsidR="006232D6" w:rsidRPr="00F12F90" w:rsidRDefault="006232D6" w:rsidP="00D925FF">
      <w:pPr>
        <w:pStyle w:val="a4"/>
        <w:spacing w:before="0" w:beforeAutospacing="0" w:after="0" w:afterAutospacing="0"/>
        <w:jc w:val="both"/>
        <w:rPr>
          <w:b/>
          <w:lang w:val="ru-RU"/>
        </w:rPr>
      </w:pPr>
      <w:r w:rsidRPr="00F12F90">
        <w:rPr>
          <w:b/>
          <w:lang w:val="ru-RU"/>
        </w:rPr>
        <w:t>10. ДАТА ПЕРЕСМОТРА ТЕКСТА</w:t>
      </w:r>
    </w:p>
    <w:p w14:paraId="188E4A20" w14:textId="77777777" w:rsidR="001E0472" w:rsidRPr="00F12F90" w:rsidRDefault="001E0472" w:rsidP="001E0472">
      <w:pPr>
        <w:pStyle w:val="aa"/>
        <w:ind w:left="0"/>
        <w:jc w:val="both"/>
        <w:rPr>
          <w:lang w:val="ru-RU"/>
        </w:rPr>
      </w:pPr>
      <w:r w:rsidRPr="00F12F90">
        <w:rPr>
          <w:rFonts w:eastAsia="TimesNewRomanPSMT"/>
          <w:lang w:val="ru-RU" w:eastAsia="ru-RU"/>
        </w:rPr>
        <w:t xml:space="preserve">Общая характеристика лекарственного препарата доступна на официальном сайте </w:t>
      </w:r>
      <w:hyperlink r:id="rId11" w:history="1">
        <w:r w:rsidRPr="00F12F90">
          <w:rPr>
            <w:rStyle w:val="a8"/>
            <w:lang w:val="ru-RU"/>
          </w:rPr>
          <w:t>http://www.ndda.kz</w:t>
        </w:r>
      </w:hyperlink>
      <w:r w:rsidRPr="00F12F90">
        <w:rPr>
          <w:lang w:val="ru-RU"/>
        </w:rPr>
        <w:t xml:space="preserve"> </w:t>
      </w:r>
    </w:p>
    <w:p w14:paraId="01B70110" w14:textId="77777777" w:rsidR="00A370CC" w:rsidRPr="00F12F90" w:rsidRDefault="00A370CC" w:rsidP="00C64BEE">
      <w:pPr>
        <w:jc w:val="both"/>
        <w:rPr>
          <w:rFonts w:eastAsia="TimesNewRomanPSMT"/>
          <w:lang w:val="ru-RU" w:eastAsia="ru-RU"/>
        </w:rPr>
      </w:pPr>
    </w:p>
    <w:p w14:paraId="2AECEFD6" w14:textId="5FC25044" w:rsidR="007635D8" w:rsidRPr="00F12F90" w:rsidRDefault="007635D8" w:rsidP="00C64BEE">
      <w:pPr>
        <w:jc w:val="both"/>
        <w:rPr>
          <w:rFonts w:eastAsia="Microsoft Sans Serif"/>
          <w:lang w:val="ru-RU" w:eastAsia="en-US" w:bidi="ru-RU"/>
        </w:rPr>
      </w:pPr>
    </w:p>
    <w:sectPr w:rsidR="007635D8" w:rsidRPr="00F12F90" w:rsidSect="00D302EE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4AA59" w14:textId="77777777" w:rsidR="00EB58F5" w:rsidRDefault="00EB58F5" w:rsidP="00D302EE">
      <w:r>
        <w:separator/>
      </w:r>
    </w:p>
  </w:endnote>
  <w:endnote w:type="continuationSeparator" w:id="0">
    <w:p w14:paraId="3AAE2402" w14:textId="77777777" w:rsidR="00EB58F5" w:rsidRDefault="00EB58F5" w:rsidP="00D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C5DF3" w14:textId="77777777" w:rsidR="00EB58F5" w:rsidRDefault="00EB58F5" w:rsidP="00D302EE">
      <w:r>
        <w:separator/>
      </w:r>
    </w:p>
  </w:footnote>
  <w:footnote w:type="continuationSeparator" w:id="0">
    <w:p w14:paraId="6DCE0CBA" w14:textId="77777777" w:rsidR="00EB58F5" w:rsidRDefault="00EB58F5" w:rsidP="00D3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7CB7B" w14:textId="7D95D0B2" w:rsidR="006F48F2" w:rsidRPr="00D302EE" w:rsidRDefault="006F48F2" w:rsidP="00D302EE">
    <w:pPr>
      <w:pStyle w:val="a5"/>
      <w:tabs>
        <w:tab w:val="right" w:pos="9072"/>
      </w:tabs>
      <w:ind w:left="1440"/>
      <w:jc w:val="right"/>
      <w:rPr>
        <w:sz w:val="24"/>
        <w:szCs w:val="24"/>
        <w:lang w:val="en-US"/>
      </w:rPr>
    </w:pPr>
    <w:r w:rsidRPr="00D302EE">
      <w:rPr>
        <w:b/>
        <w:sz w:val="24"/>
        <w:szCs w:val="24"/>
        <w:lang w:val="kk-KZ"/>
      </w:rPr>
      <w:t>Версия</w:t>
    </w:r>
    <w:r w:rsidRPr="00D302EE">
      <w:rPr>
        <w:b/>
        <w:sz w:val="24"/>
        <w:szCs w:val="24"/>
      </w:rPr>
      <w:t xml:space="preserve"> 1  </w:t>
    </w:r>
    <w:r w:rsidRPr="00D302EE">
      <w:rPr>
        <w:b/>
        <w:sz w:val="24"/>
        <w:szCs w:val="24"/>
        <w:lang w:val="kk-KZ"/>
      </w:rPr>
      <w:t xml:space="preserve">Дата обновления </w:t>
    </w:r>
    <w:r w:rsidRPr="00D302EE">
      <w:rPr>
        <w:b/>
        <w:sz w:val="24"/>
        <w:szCs w:val="24"/>
      </w:rPr>
      <w:t xml:space="preserve"> 1</w:t>
    </w:r>
    <w:r>
      <w:rPr>
        <w:b/>
        <w:sz w:val="24"/>
        <w:szCs w:val="24"/>
        <w:lang w:val="en-US"/>
      </w:rPr>
      <w:t>3</w:t>
    </w:r>
    <w:r>
      <w:rPr>
        <w:b/>
        <w:sz w:val="24"/>
        <w:szCs w:val="24"/>
      </w:rPr>
      <w:t>.</w:t>
    </w:r>
    <w:r>
      <w:rPr>
        <w:b/>
        <w:sz w:val="24"/>
        <w:szCs w:val="24"/>
        <w:lang w:val="en-US"/>
      </w:rPr>
      <w:t>03</w:t>
    </w:r>
    <w:r w:rsidRPr="00D302EE">
      <w:rPr>
        <w:b/>
        <w:sz w:val="24"/>
        <w:szCs w:val="24"/>
      </w:rPr>
      <w:t>.202</w:t>
    </w:r>
    <w:r>
      <w:rPr>
        <w:b/>
        <w:sz w:val="24"/>
        <w:szCs w:val="24"/>
        <w:lang w:val="en-US"/>
      </w:rPr>
      <w:t>3</w:t>
    </w:r>
  </w:p>
  <w:p w14:paraId="2B80B2D8" w14:textId="77777777" w:rsidR="006F48F2" w:rsidRDefault="006F48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8C9D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C732C"/>
    <w:multiLevelType w:val="hybridMultilevel"/>
    <w:tmpl w:val="ED848C1C"/>
    <w:lvl w:ilvl="0" w:tplc="5B60C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1C28"/>
    <w:multiLevelType w:val="hybridMultilevel"/>
    <w:tmpl w:val="C588A0AE"/>
    <w:lvl w:ilvl="0" w:tplc="982E96AC">
      <w:numFmt w:val="bullet"/>
      <w:lvlText w:val="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3D0A13"/>
    <w:multiLevelType w:val="hybridMultilevel"/>
    <w:tmpl w:val="5DFAAF32"/>
    <w:lvl w:ilvl="0" w:tplc="7C02C6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93684A"/>
    <w:multiLevelType w:val="hybridMultilevel"/>
    <w:tmpl w:val="9C560FF0"/>
    <w:lvl w:ilvl="0" w:tplc="EAD8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F45C5"/>
    <w:multiLevelType w:val="hybridMultilevel"/>
    <w:tmpl w:val="C3C03740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47AC1"/>
    <w:multiLevelType w:val="hybridMultilevel"/>
    <w:tmpl w:val="51385222"/>
    <w:lvl w:ilvl="0" w:tplc="795C1F54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4CA3580B"/>
    <w:multiLevelType w:val="hybridMultilevel"/>
    <w:tmpl w:val="8808FF94"/>
    <w:lvl w:ilvl="0" w:tplc="982E96AC">
      <w:numFmt w:val="bullet"/>
      <w:lvlText w:val="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8B2641E"/>
    <w:multiLevelType w:val="hybridMultilevel"/>
    <w:tmpl w:val="20162E3A"/>
    <w:lvl w:ilvl="0" w:tplc="134478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9987309"/>
    <w:multiLevelType w:val="hybridMultilevel"/>
    <w:tmpl w:val="CC160E46"/>
    <w:lvl w:ilvl="0" w:tplc="795C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452D0"/>
    <w:multiLevelType w:val="hybridMultilevel"/>
    <w:tmpl w:val="AB14ADA4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30"/>
    <w:rsid w:val="0000238C"/>
    <w:rsid w:val="00002FBD"/>
    <w:rsid w:val="00003F85"/>
    <w:rsid w:val="00004EE6"/>
    <w:rsid w:val="00007151"/>
    <w:rsid w:val="00032CC6"/>
    <w:rsid w:val="00050CA1"/>
    <w:rsid w:val="00052611"/>
    <w:rsid w:val="000574C0"/>
    <w:rsid w:val="000617D9"/>
    <w:rsid w:val="00084E2A"/>
    <w:rsid w:val="00085413"/>
    <w:rsid w:val="0008775D"/>
    <w:rsid w:val="000C0BA5"/>
    <w:rsid w:val="000C5E42"/>
    <w:rsid w:val="000C6B72"/>
    <w:rsid w:val="000E47DD"/>
    <w:rsid w:val="000F2457"/>
    <w:rsid w:val="001013EB"/>
    <w:rsid w:val="001067DB"/>
    <w:rsid w:val="00116E68"/>
    <w:rsid w:val="00126600"/>
    <w:rsid w:val="0013635B"/>
    <w:rsid w:val="0013774A"/>
    <w:rsid w:val="00141D8B"/>
    <w:rsid w:val="00143142"/>
    <w:rsid w:val="001432F3"/>
    <w:rsid w:val="0017223A"/>
    <w:rsid w:val="001722D0"/>
    <w:rsid w:val="00176210"/>
    <w:rsid w:val="00177790"/>
    <w:rsid w:val="001820E2"/>
    <w:rsid w:val="001858DC"/>
    <w:rsid w:val="00192752"/>
    <w:rsid w:val="001A5C85"/>
    <w:rsid w:val="001C24CD"/>
    <w:rsid w:val="001C41B0"/>
    <w:rsid w:val="001C5D20"/>
    <w:rsid w:val="001E046F"/>
    <w:rsid w:val="001E0472"/>
    <w:rsid w:val="001E3337"/>
    <w:rsid w:val="001E3CE3"/>
    <w:rsid w:val="001E4547"/>
    <w:rsid w:val="00200DE0"/>
    <w:rsid w:val="002012F7"/>
    <w:rsid w:val="00225858"/>
    <w:rsid w:val="00234E68"/>
    <w:rsid w:val="00246045"/>
    <w:rsid w:val="00247409"/>
    <w:rsid w:val="00274AB5"/>
    <w:rsid w:val="00277528"/>
    <w:rsid w:val="002851D9"/>
    <w:rsid w:val="0029214F"/>
    <w:rsid w:val="002960EC"/>
    <w:rsid w:val="002A4F70"/>
    <w:rsid w:val="002A77E9"/>
    <w:rsid w:val="002C2EC7"/>
    <w:rsid w:val="002D32A3"/>
    <w:rsid w:val="002F11F2"/>
    <w:rsid w:val="002F1587"/>
    <w:rsid w:val="0030171E"/>
    <w:rsid w:val="0030653B"/>
    <w:rsid w:val="00313BCB"/>
    <w:rsid w:val="003203E5"/>
    <w:rsid w:val="00321EA0"/>
    <w:rsid w:val="0033541C"/>
    <w:rsid w:val="003571D2"/>
    <w:rsid w:val="00380F1E"/>
    <w:rsid w:val="003811A6"/>
    <w:rsid w:val="003821A5"/>
    <w:rsid w:val="0038277B"/>
    <w:rsid w:val="003908C9"/>
    <w:rsid w:val="003B2545"/>
    <w:rsid w:val="003C3038"/>
    <w:rsid w:val="003C43D7"/>
    <w:rsid w:val="003C726A"/>
    <w:rsid w:val="003E2FAF"/>
    <w:rsid w:val="00400AD5"/>
    <w:rsid w:val="00412A62"/>
    <w:rsid w:val="00413B6B"/>
    <w:rsid w:val="004179FE"/>
    <w:rsid w:val="0042016C"/>
    <w:rsid w:val="00423501"/>
    <w:rsid w:val="004235C0"/>
    <w:rsid w:val="00435E15"/>
    <w:rsid w:val="0044161D"/>
    <w:rsid w:val="00445200"/>
    <w:rsid w:val="004502EB"/>
    <w:rsid w:val="00450336"/>
    <w:rsid w:val="00465460"/>
    <w:rsid w:val="004743F2"/>
    <w:rsid w:val="004848D7"/>
    <w:rsid w:val="00493BCA"/>
    <w:rsid w:val="004A506E"/>
    <w:rsid w:val="004B571C"/>
    <w:rsid w:val="004C1FFD"/>
    <w:rsid w:val="004C3A3F"/>
    <w:rsid w:val="004D12FE"/>
    <w:rsid w:val="004F20C1"/>
    <w:rsid w:val="004F4482"/>
    <w:rsid w:val="005076FC"/>
    <w:rsid w:val="0051013E"/>
    <w:rsid w:val="00511E61"/>
    <w:rsid w:val="005158E7"/>
    <w:rsid w:val="00521E01"/>
    <w:rsid w:val="005244A6"/>
    <w:rsid w:val="00525910"/>
    <w:rsid w:val="005269EE"/>
    <w:rsid w:val="00535460"/>
    <w:rsid w:val="00540EDC"/>
    <w:rsid w:val="00541292"/>
    <w:rsid w:val="00546D1B"/>
    <w:rsid w:val="005514EE"/>
    <w:rsid w:val="00563536"/>
    <w:rsid w:val="00563705"/>
    <w:rsid w:val="00574C0F"/>
    <w:rsid w:val="0057612D"/>
    <w:rsid w:val="00594636"/>
    <w:rsid w:val="005959AB"/>
    <w:rsid w:val="005A2A7E"/>
    <w:rsid w:val="005A6C02"/>
    <w:rsid w:val="005B171A"/>
    <w:rsid w:val="005B335C"/>
    <w:rsid w:val="005B7016"/>
    <w:rsid w:val="005C1D9E"/>
    <w:rsid w:val="005C41FC"/>
    <w:rsid w:val="005D0271"/>
    <w:rsid w:val="005D0574"/>
    <w:rsid w:val="005E451D"/>
    <w:rsid w:val="005E7FA3"/>
    <w:rsid w:val="00611D4A"/>
    <w:rsid w:val="006157DE"/>
    <w:rsid w:val="0061605B"/>
    <w:rsid w:val="006232D6"/>
    <w:rsid w:val="00634495"/>
    <w:rsid w:val="006453F3"/>
    <w:rsid w:val="00650F18"/>
    <w:rsid w:val="0065776C"/>
    <w:rsid w:val="006600D9"/>
    <w:rsid w:val="00663379"/>
    <w:rsid w:val="00671EF4"/>
    <w:rsid w:val="00672A08"/>
    <w:rsid w:val="00682483"/>
    <w:rsid w:val="00682A5C"/>
    <w:rsid w:val="00686464"/>
    <w:rsid w:val="00687570"/>
    <w:rsid w:val="00687AE3"/>
    <w:rsid w:val="006A5687"/>
    <w:rsid w:val="006B0830"/>
    <w:rsid w:val="006B10BA"/>
    <w:rsid w:val="006B6607"/>
    <w:rsid w:val="006D08CD"/>
    <w:rsid w:val="006D4B31"/>
    <w:rsid w:val="006D79A2"/>
    <w:rsid w:val="006E3099"/>
    <w:rsid w:val="006F2AE3"/>
    <w:rsid w:val="006F48F2"/>
    <w:rsid w:val="0071193E"/>
    <w:rsid w:val="0071529A"/>
    <w:rsid w:val="00715E39"/>
    <w:rsid w:val="00716B87"/>
    <w:rsid w:val="0072335F"/>
    <w:rsid w:val="007239E6"/>
    <w:rsid w:val="00723CCD"/>
    <w:rsid w:val="00740E24"/>
    <w:rsid w:val="007426CC"/>
    <w:rsid w:val="00753922"/>
    <w:rsid w:val="00757BD8"/>
    <w:rsid w:val="00760E70"/>
    <w:rsid w:val="007635D8"/>
    <w:rsid w:val="00764AAD"/>
    <w:rsid w:val="00770E96"/>
    <w:rsid w:val="007724EA"/>
    <w:rsid w:val="00775F57"/>
    <w:rsid w:val="007920EB"/>
    <w:rsid w:val="007947D5"/>
    <w:rsid w:val="007A7CAA"/>
    <w:rsid w:val="007C14D8"/>
    <w:rsid w:val="007C3F84"/>
    <w:rsid w:val="007C691B"/>
    <w:rsid w:val="007E3787"/>
    <w:rsid w:val="007E691A"/>
    <w:rsid w:val="007F3D20"/>
    <w:rsid w:val="007F6DE2"/>
    <w:rsid w:val="008016B4"/>
    <w:rsid w:val="00804174"/>
    <w:rsid w:val="00813740"/>
    <w:rsid w:val="00814175"/>
    <w:rsid w:val="00814DDB"/>
    <w:rsid w:val="00830217"/>
    <w:rsid w:val="008316D2"/>
    <w:rsid w:val="00833809"/>
    <w:rsid w:val="00856E86"/>
    <w:rsid w:val="00860789"/>
    <w:rsid w:val="00862C8C"/>
    <w:rsid w:val="0086342E"/>
    <w:rsid w:val="008858BA"/>
    <w:rsid w:val="00894196"/>
    <w:rsid w:val="00894556"/>
    <w:rsid w:val="00896072"/>
    <w:rsid w:val="008A16B6"/>
    <w:rsid w:val="008A4B03"/>
    <w:rsid w:val="008A5BE2"/>
    <w:rsid w:val="008B0725"/>
    <w:rsid w:val="008B32AD"/>
    <w:rsid w:val="008B6E7A"/>
    <w:rsid w:val="008C237C"/>
    <w:rsid w:val="008C466F"/>
    <w:rsid w:val="008C4F68"/>
    <w:rsid w:val="008E330E"/>
    <w:rsid w:val="008E4A3C"/>
    <w:rsid w:val="008E6C52"/>
    <w:rsid w:val="00900A7F"/>
    <w:rsid w:val="00905A38"/>
    <w:rsid w:val="00906F58"/>
    <w:rsid w:val="0092127A"/>
    <w:rsid w:val="00930C8C"/>
    <w:rsid w:val="009336B2"/>
    <w:rsid w:val="0093508D"/>
    <w:rsid w:val="00935760"/>
    <w:rsid w:val="00937DD7"/>
    <w:rsid w:val="009529AD"/>
    <w:rsid w:val="009616C8"/>
    <w:rsid w:val="00986AF1"/>
    <w:rsid w:val="009A43FF"/>
    <w:rsid w:val="009C2836"/>
    <w:rsid w:val="009C5D94"/>
    <w:rsid w:val="009D3DEE"/>
    <w:rsid w:val="009E5DE0"/>
    <w:rsid w:val="009E6462"/>
    <w:rsid w:val="009F0CDF"/>
    <w:rsid w:val="009F1DA2"/>
    <w:rsid w:val="009F2C6D"/>
    <w:rsid w:val="009F3F50"/>
    <w:rsid w:val="009F505C"/>
    <w:rsid w:val="009F52E7"/>
    <w:rsid w:val="00A014BC"/>
    <w:rsid w:val="00A13C1A"/>
    <w:rsid w:val="00A23BC2"/>
    <w:rsid w:val="00A27419"/>
    <w:rsid w:val="00A31AB1"/>
    <w:rsid w:val="00A370CC"/>
    <w:rsid w:val="00A42395"/>
    <w:rsid w:val="00A519A1"/>
    <w:rsid w:val="00A5342D"/>
    <w:rsid w:val="00A623DE"/>
    <w:rsid w:val="00A73446"/>
    <w:rsid w:val="00A86ADA"/>
    <w:rsid w:val="00A91517"/>
    <w:rsid w:val="00A91652"/>
    <w:rsid w:val="00A94C71"/>
    <w:rsid w:val="00A9771D"/>
    <w:rsid w:val="00AC4FF0"/>
    <w:rsid w:val="00AC5778"/>
    <w:rsid w:val="00AD0B47"/>
    <w:rsid w:val="00AD24BE"/>
    <w:rsid w:val="00AD7343"/>
    <w:rsid w:val="00AE1695"/>
    <w:rsid w:val="00AE6B4F"/>
    <w:rsid w:val="00AF4D44"/>
    <w:rsid w:val="00B03E11"/>
    <w:rsid w:val="00B0449D"/>
    <w:rsid w:val="00B20BA2"/>
    <w:rsid w:val="00B35899"/>
    <w:rsid w:val="00B36769"/>
    <w:rsid w:val="00B37CC1"/>
    <w:rsid w:val="00B400F2"/>
    <w:rsid w:val="00B42574"/>
    <w:rsid w:val="00B47D0B"/>
    <w:rsid w:val="00B534DA"/>
    <w:rsid w:val="00B54291"/>
    <w:rsid w:val="00B81A6A"/>
    <w:rsid w:val="00B8637C"/>
    <w:rsid w:val="00B87A0D"/>
    <w:rsid w:val="00B909D9"/>
    <w:rsid w:val="00BB5D33"/>
    <w:rsid w:val="00BC000E"/>
    <w:rsid w:val="00BF10BF"/>
    <w:rsid w:val="00C00491"/>
    <w:rsid w:val="00C0216C"/>
    <w:rsid w:val="00C05B85"/>
    <w:rsid w:val="00C11963"/>
    <w:rsid w:val="00C145D0"/>
    <w:rsid w:val="00C167EB"/>
    <w:rsid w:val="00C32A47"/>
    <w:rsid w:val="00C4122E"/>
    <w:rsid w:val="00C4201E"/>
    <w:rsid w:val="00C45221"/>
    <w:rsid w:val="00C45F77"/>
    <w:rsid w:val="00C47F5F"/>
    <w:rsid w:val="00C56BCB"/>
    <w:rsid w:val="00C64BEE"/>
    <w:rsid w:val="00C65D20"/>
    <w:rsid w:val="00C753D5"/>
    <w:rsid w:val="00C85E4E"/>
    <w:rsid w:val="00C879B5"/>
    <w:rsid w:val="00C905DF"/>
    <w:rsid w:val="00C93835"/>
    <w:rsid w:val="00C93C77"/>
    <w:rsid w:val="00CD0D60"/>
    <w:rsid w:val="00CE5718"/>
    <w:rsid w:val="00CE5E61"/>
    <w:rsid w:val="00D00B67"/>
    <w:rsid w:val="00D17D7C"/>
    <w:rsid w:val="00D22DE9"/>
    <w:rsid w:val="00D302EE"/>
    <w:rsid w:val="00D30798"/>
    <w:rsid w:val="00D33481"/>
    <w:rsid w:val="00D3707F"/>
    <w:rsid w:val="00D4139C"/>
    <w:rsid w:val="00D518A6"/>
    <w:rsid w:val="00D53074"/>
    <w:rsid w:val="00D81314"/>
    <w:rsid w:val="00D8156C"/>
    <w:rsid w:val="00D84B2B"/>
    <w:rsid w:val="00D925FF"/>
    <w:rsid w:val="00DA24CD"/>
    <w:rsid w:val="00DB67B3"/>
    <w:rsid w:val="00DD02C9"/>
    <w:rsid w:val="00DE4013"/>
    <w:rsid w:val="00DE7162"/>
    <w:rsid w:val="00DF090F"/>
    <w:rsid w:val="00DF36FA"/>
    <w:rsid w:val="00DF4B28"/>
    <w:rsid w:val="00E02F20"/>
    <w:rsid w:val="00E06B2C"/>
    <w:rsid w:val="00E11418"/>
    <w:rsid w:val="00E245A3"/>
    <w:rsid w:val="00E27138"/>
    <w:rsid w:val="00E514F1"/>
    <w:rsid w:val="00E65A72"/>
    <w:rsid w:val="00E758E0"/>
    <w:rsid w:val="00E812AE"/>
    <w:rsid w:val="00E8773F"/>
    <w:rsid w:val="00E87913"/>
    <w:rsid w:val="00EA7A14"/>
    <w:rsid w:val="00EB1E31"/>
    <w:rsid w:val="00EB58F5"/>
    <w:rsid w:val="00EC007A"/>
    <w:rsid w:val="00EC565C"/>
    <w:rsid w:val="00ED2702"/>
    <w:rsid w:val="00EE04D9"/>
    <w:rsid w:val="00EF0AE0"/>
    <w:rsid w:val="00EF5B52"/>
    <w:rsid w:val="00F10DDF"/>
    <w:rsid w:val="00F11787"/>
    <w:rsid w:val="00F12F90"/>
    <w:rsid w:val="00F1550B"/>
    <w:rsid w:val="00F17729"/>
    <w:rsid w:val="00F22002"/>
    <w:rsid w:val="00F24534"/>
    <w:rsid w:val="00F274EC"/>
    <w:rsid w:val="00F35993"/>
    <w:rsid w:val="00F437CF"/>
    <w:rsid w:val="00F62A68"/>
    <w:rsid w:val="00F646AF"/>
    <w:rsid w:val="00F836A7"/>
    <w:rsid w:val="00FB155F"/>
    <w:rsid w:val="00FB3ABE"/>
    <w:rsid w:val="00FB4624"/>
    <w:rsid w:val="00FB7ED4"/>
    <w:rsid w:val="00FC7952"/>
    <w:rsid w:val="00FD0A98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C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32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C3F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1E4547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232D6"/>
    <w:pPr>
      <w:spacing w:before="100" w:beforeAutospacing="1" w:after="100" w:afterAutospacing="1"/>
    </w:pPr>
  </w:style>
  <w:style w:type="paragraph" w:styleId="a5">
    <w:name w:val="header"/>
    <w:aliases w:val="záhstr,zahstr, Знак,Верхний колонтитул Знак Знак,Верхний колонтитул Знак1 Знак Знак,Верхний колонтитул Знак Знак Знак Знак,záhstr Знак Знак Знак Знак,Верхний колонтитул Знак Знак1,záhstr Знак Знак1,Верхний колонтитул Знак"/>
    <w:basedOn w:val="a0"/>
    <w:link w:val="1"/>
    <w:rsid w:val="00C753D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line="30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1">
    <w:name w:val="Верхний колонтитул Знак1"/>
    <w:aliases w:val="záhstr Знак,zahstr Знак, Знак Знак,Верхний колонтитул Знак Знак Знак,Верхний колонтитул Знак1 Знак Знак Знак,Верхний колонтитул Знак Знак Знак Знак Знак,záhstr Знак Знак Знак Знак Знак,Верхний колонтитул Знак Знак1 Знак"/>
    <w:basedOn w:val="a1"/>
    <w:link w:val="a5"/>
    <w:uiPriority w:val="99"/>
    <w:rsid w:val="00C753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Звичайний6"/>
    <w:rsid w:val="00C753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ody Text"/>
    <w:basedOn w:val="a0"/>
    <w:link w:val="a7"/>
    <w:rsid w:val="005A2A7E"/>
    <w:pPr>
      <w:spacing w:after="120"/>
    </w:pPr>
    <w:rPr>
      <w:rFonts w:eastAsia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1"/>
    <w:link w:val="a6"/>
    <w:rsid w:val="005A2A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rsid w:val="004235C0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0"/>
    <w:rsid w:val="004235C0"/>
    <w:pPr>
      <w:spacing w:before="100" w:beforeAutospacing="1" w:after="100" w:afterAutospacing="1"/>
    </w:pPr>
    <w:rPr>
      <w:rFonts w:eastAsia="Calibri"/>
    </w:rPr>
  </w:style>
  <w:style w:type="character" w:styleId="a9">
    <w:name w:val="Emphasis"/>
    <w:qFormat/>
    <w:rsid w:val="004235C0"/>
    <w:rPr>
      <w:i/>
      <w:iCs/>
    </w:rPr>
  </w:style>
  <w:style w:type="paragraph" w:customStyle="1" w:styleId="FR1">
    <w:name w:val="FR1"/>
    <w:rsid w:val="004235C0"/>
    <w:pPr>
      <w:widowControl w:val="0"/>
      <w:autoSpaceDE w:val="0"/>
      <w:autoSpaceDN w:val="0"/>
      <w:adjustRightInd w:val="0"/>
      <w:spacing w:before="60" w:after="0" w:line="240" w:lineRule="auto"/>
      <w:ind w:left="5520"/>
    </w:pPr>
    <w:rPr>
      <w:rFonts w:ascii="Arial" w:eastAsia="Times New Roman" w:hAnsi="Arial" w:cs="Arial"/>
      <w:noProof/>
      <w:sz w:val="24"/>
      <w:szCs w:val="24"/>
      <w:lang w:val="ru-RU" w:eastAsia="ru-RU"/>
    </w:rPr>
  </w:style>
  <w:style w:type="paragraph" w:customStyle="1" w:styleId="4">
    <w:name w:val="Звичайний4"/>
    <w:rsid w:val="00C938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0">
    <w:name w:val="Звичайний1"/>
    <w:rsid w:val="00D925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925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925FF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a">
    <w:name w:val="List Paragraph"/>
    <w:basedOn w:val="a0"/>
    <w:uiPriority w:val="34"/>
    <w:qFormat/>
    <w:rsid w:val="004F20C1"/>
    <w:pPr>
      <w:ind w:left="720"/>
      <w:contextualSpacing/>
    </w:pPr>
  </w:style>
  <w:style w:type="paragraph" w:styleId="ab">
    <w:name w:val="No Spacing"/>
    <w:uiPriority w:val="1"/>
    <w:qFormat/>
    <w:rsid w:val="00AC5778"/>
    <w:pPr>
      <w:spacing w:after="0" w:line="240" w:lineRule="auto"/>
    </w:pPr>
    <w:rPr>
      <w:lang w:val="ru-RU"/>
    </w:rPr>
  </w:style>
  <w:style w:type="paragraph" w:customStyle="1" w:styleId="40">
    <w:name w:val="заголовок 4"/>
    <w:basedOn w:val="a0"/>
    <w:next w:val="a0"/>
    <w:rsid w:val="00246045"/>
    <w:pPr>
      <w:keepNext/>
      <w:autoSpaceDE w:val="0"/>
      <w:autoSpaceDN w:val="0"/>
      <w:jc w:val="both"/>
    </w:pPr>
    <w:rPr>
      <w:rFonts w:eastAsia="Times New Roman"/>
      <w:sz w:val="28"/>
      <w:szCs w:val="28"/>
      <w:lang w:val="ru-RU"/>
    </w:rPr>
  </w:style>
  <w:style w:type="character" w:customStyle="1" w:styleId="30">
    <w:name w:val="Заголовок 3 Знак"/>
    <w:basedOn w:val="a1"/>
    <w:link w:val="3"/>
    <w:rsid w:val="001E45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0">
    <w:name w:val="Основной текст 21"/>
    <w:basedOn w:val="a0"/>
    <w:rsid w:val="001E4547"/>
    <w:pPr>
      <w:widowControl w:val="0"/>
      <w:spacing w:line="379" w:lineRule="auto"/>
      <w:ind w:firstLine="720"/>
      <w:jc w:val="both"/>
    </w:pPr>
    <w:rPr>
      <w:rFonts w:eastAsia="Times New Roman"/>
      <w:szCs w:val="20"/>
      <w:lang w:val="ru-RU" w:eastAsia="ru-RU"/>
    </w:rPr>
  </w:style>
  <w:style w:type="character" w:styleId="ac">
    <w:name w:val="annotation reference"/>
    <w:basedOn w:val="a1"/>
    <w:uiPriority w:val="99"/>
    <w:semiHidden/>
    <w:unhideWhenUsed/>
    <w:rsid w:val="00BF10B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BF10B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BF10BF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0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0BF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f1">
    <w:name w:val="Balloon Text"/>
    <w:basedOn w:val="a0"/>
    <w:link w:val="af2"/>
    <w:uiPriority w:val="99"/>
    <w:semiHidden/>
    <w:unhideWhenUsed/>
    <w:rsid w:val="00BF10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F10BF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Style5">
    <w:name w:val="Style5"/>
    <w:basedOn w:val="a0"/>
    <w:uiPriority w:val="99"/>
    <w:rsid w:val="007F3D2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val="ru-RU" w:eastAsia="ru-RU"/>
    </w:rPr>
  </w:style>
  <w:style w:type="paragraph" w:styleId="a">
    <w:name w:val="List Bullet"/>
    <w:basedOn w:val="a0"/>
    <w:uiPriority w:val="99"/>
    <w:unhideWhenUsed/>
    <w:rsid w:val="00D33481"/>
    <w:pPr>
      <w:numPr>
        <w:numId w:val="10"/>
      </w:numPr>
      <w:contextualSpacing/>
    </w:pPr>
  </w:style>
  <w:style w:type="character" w:customStyle="1" w:styleId="q4iawc">
    <w:name w:val="q4iawc"/>
    <w:basedOn w:val="a1"/>
    <w:rsid w:val="006157DE"/>
  </w:style>
  <w:style w:type="character" w:customStyle="1" w:styleId="20">
    <w:name w:val="Заголовок 2 Знак"/>
    <w:basedOn w:val="a1"/>
    <w:link w:val="2"/>
    <w:uiPriority w:val="9"/>
    <w:semiHidden/>
    <w:rsid w:val="007C3F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ztplmc">
    <w:name w:val="ztplmc"/>
    <w:basedOn w:val="a1"/>
    <w:rsid w:val="007C3F84"/>
  </w:style>
  <w:style w:type="character" w:customStyle="1" w:styleId="material-icons-extended">
    <w:name w:val="material-icons-extended"/>
    <w:basedOn w:val="a1"/>
    <w:rsid w:val="007C3F84"/>
  </w:style>
  <w:style w:type="character" w:customStyle="1" w:styleId="viiyi">
    <w:name w:val="viiyi"/>
    <w:basedOn w:val="a1"/>
    <w:rsid w:val="00894556"/>
  </w:style>
  <w:style w:type="character" w:styleId="af3">
    <w:name w:val="Placeholder Text"/>
    <w:basedOn w:val="a1"/>
    <w:uiPriority w:val="99"/>
    <w:semiHidden/>
    <w:rsid w:val="00A13C1A"/>
    <w:rPr>
      <w:color w:val="808080"/>
    </w:rPr>
  </w:style>
  <w:style w:type="paragraph" w:customStyle="1" w:styleId="Default">
    <w:name w:val="Default"/>
    <w:rsid w:val="00833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4">
    <w:name w:val="footer"/>
    <w:basedOn w:val="a0"/>
    <w:link w:val="af5"/>
    <w:uiPriority w:val="99"/>
    <w:unhideWhenUsed/>
    <w:rsid w:val="00D302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D302E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onsPlusNormal">
    <w:name w:val="ConsPlusNormal"/>
    <w:rsid w:val="001E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32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C3F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1E4547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232D6"/>
    <w:pPr>
      <w:spacing w:before="100" w:beforeAutospacing="1" w:after="100" w:afterAutospacing="1"/>
    </w:pPr>
  </w:style>
  <w:style w:type="paragraph" w:styleId="a5">
    <w:name w:val="header"/>
    <w:aliases w:val="záhstr,zahstr, Знак,Верхний колонтитул Знак Знак,Верхний колонтитул Знак1 Знак Знак,Верхний колонтитул Знак Знак Знак Знак,záhstr Знак Знак Знак Знак,Верхний колонтитул Знак Знак1,záhstr Знак Знак1,Верхний колонтитул Знак"/>
    <w:basedOn w:val="a0"/>
    <w:link w:val="1"/>
    <w:rsid w:val="00C753D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line="30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1">
    <w:name w:val="Верхний колонтитул Знак1"/>
    <w:aliases w:val="záhstr Знак,zahstr Знак, Знак Знак,Верхний колонтитул Знак Знак Знак,Верхний колонтитул Знак1 Знак Знак Знак,Верхний колонтитул Знак Знак Знак Знак Знак,záhstr Знак Знак Знак Знак Знак,Верхний колонтитул Знак Знак1 Знак"/>
    <w:basedOn w:val="a1"/>
    <w:link w:val="a5"/>
    <w:uiPriority w:val="99"/>
    <w:rsid w:val="00C753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Звичайний6"/>
    <w:rsid w:val="00C753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ody Text"/>
    <w:basedOn w:val="a0"/>
    <w:link w:val="a7"/>
    <w:rsid w:val="005A2A7E"/>
    <w:pPr>
      <w:spacing w:after="120"/>
    </w:pPr>
    <w:rPr>
      <w:rFonts w:eastAsia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1"/>
    <w:link w:val="a6"/>
    <w:rsid w:val="005A2A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rsid w:val="004235C0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0"/>
    <w:rsid w:val="004235C0"/>
    <w:pPr>
      <w:spacing w:before="100" w:beforeAutospacing="1" w:after="100" w:afterAutospacing="1"/>
    </w:pPr>
    <w:rPr>
      <w:rFonts w:eastAsia="Calibri"/>
    </w:rPr>
  </w:style>
  <w:style w:type="character" w:styleId="a9">
    <w:name w:val="Emphasis"/>
    <w:qFormat/>
    <w:rsid w:val="004235C0"/>
    <w:rPr>
      <w:i/>
      <w:iCs/>
    </w:rPr>
  </w:style>
  <w:style w:type="paragraph" w:customStyle="1" w:styleId="FR1">
    <w:name w:val="FR1"/>
    <w:rsid w:val="004235C0"/>
    <w:pPr>
      <w:widowControl w:val="0"/>
      <w:autoSpaceDE w:val="0"/>
      <w:autoSpaceDN w:val="0"/>
      <w:adjustRightInd w:val="0"/>
      <w:spacing w:before="60" w:after="0" w:line="240" w:lineRule="auto"/>
      <w:ind w:left="5520"/>
    </w:pPr>
    <w:rPr>
      <w:rFonts w:ascii="Arial" w:eastAsia="Times New Roman" w:hAnsi="Arial" w:cs="Arial"/>
      <w:noProof/>
      <w:sz w:val="24"/>
      <w:szCs w:val="24"/>
      <w:lang w:val="ru-RU" w:eastAsia="ru-RU"/>
    </w:rPr>
  </w:style>
  <w:style w:type="paragraph" w:customStyle="1" w:styleId="4">
    <w:name w:val="Звичайний4"/>
    <w:rsid w:val="00C938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0">
    <w:name w:val="Звичайний1"/>
    <w:rsid w:val="00D925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925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925FF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a">
    <w:name w:val="List Paragraph"/>
    <w:basedOn w:val="a0"/>
    <w:uiPriority w:val="34"/>
    <w:qFormat/>
    <w:rsid w:val="004F20C1"/>
    <w:pPr>
      <w:ind w:left="720"/>
      <w:contextualSpacing/>
    </w:pPr>
  </w:style>
  <w:style w:type="paragraph" w:styleId="ab">
    <w:name w:val="No Spacing"/>
    <w:uiPriority w:val="1"/>
    <w:qFormat/>
    <w:rsid w:val="00AC5778"/>
    <w:pPr>
      <w:spacing w:after="0" w:line="240" w:lineRule="auto"/>
    </w:pPr>
    <w:rPr>
      <w:lang w:val="ru-RU"/>
    </w:rPr>
  </w:style>
  <w:style w:type="paragraph" w:customStyle="1" w:styleId="40">
    <w:name w:val="заголовок 4"/>
    <w:basedOn w:val="a0"/>
    <w:next w:val="a0"/>
    <w:rsid w:val="00246045"/>
    <w:pPr>
      <w:keepNext/>
      <w:autoSpaceDE w:val="0"/>
      <w:autoSpaceDN w:val="0"/>
      <w:jc w:val="both"/>
    </w:pPr>
    <w:rPr>
      <w:rFonts w:eastAsia="Times New Roman"/>
      <w:sz w:val="28"/>
      <w:szCs w:val="28"/>
      <w:lang w:val="ru-RU"/>
    </w:rPr>
  </w:style>
  <w:style w:type="character" w:customStyle="1" w:styleId="30">
    <w:name w:val="Заголовок 3 Знак"/>
    <w:basedOn w:val="a1"/>
    <w:link w:val="3"/>
    <w:rsid w:val="001E45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0">
    <w:name w:val="Основной текст 21"/>
    <w:basedOn w:val="a0"/>
    <w:rsid w:val="001E4547"/>
    <w:pPr>
      <w:widowControl w:val="0"/>
      <w:spacing w:line="379" w:lineRule="auto"/>
      <w:ind w:firstLine="720"/>
      <w:jc w:val="both"/>
    </w:pPr>
    <w:rPr>
      <w:rFonts w:eastAsia="Times New Roman"/>
      <w:szCs w:val="20"/>
      <w:lang w:val="ru-RU" w:eastAsia="ru-RU"/>
    </w:rPr>
  </w:style>
  <w:style w:type="character" w:styleId="ac">
    <w:name w:val="annotation reference"/>
    <w:basedOn w:val="a1"/>
    <w:uiPriority w:val="99"/>
    <w:semiHidden/>
    <w:unhideWhenUsed/>
    <w:rsid w:val="00BF10B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BF10B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BF10BF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0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0BF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f1">
    <w:name w:val="Balloon Text"/>
    <w:basedOn w:val="a0"/>
    <w:link w:val="af2"/>
    <w:uiPriority w:val="99"/>
    <w:semiHidden/>
    <w:unhideWhenUsed/>
    <w:rsid w:val="00BF10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F10BF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Style5">
    <w:name w:val="Style5"/>
    <w:basedOn w:val="a0"/>
    <w:uiPriority w:val="99"/>
    <w:rsid w:val="007F3D2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val="ru-RU" w:eastAsia="ru-RU"/>
    </w:rPr>
  </w:style>
  <w:style w:type="paragraph" w:styleId="a">
    <w:name w:val="List Bullet"/>
    <w:basedOn w:val="a0"/>
    <w:uiPriority w:val="99"/>
    <w:unhideWhenUsed/>
    <w:rsid w:val="00D33481"/>
    <w:pPr>
      <w:numPr>
        <w:numId w:val="10"/>
      </w:numPr>
      <w:contextualSpacing/>
    </w:pPr>
  </w:style>
  <w:style w:type="character" w:customStyle="1" w:styleId="q4iawc">
    <w:name w:val="q4iawc"/>
    <w:basedOn w:val="a1"/>
    <w:rsid w:val="006157DE"/>
  </w:style>
  <w:style w:type="character" w:customStyle="1" w:styleId="20">
    <w:name w:val="Заголовок 2 Знак"/>
    <w:basedOn w:val="a1"/>
    <w:link w:val="2"/>
    <w:uiPriority w:val="9"/>
    <w:semiHidden/>
    <w:rsid w:val="007C3F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ztplmc">
    <w:name w:val="ztplmc"/>
    <w:basedOn w:val="a1"/>
    <w:rsid w:val="007C3F84"/>
  </w:style>
  <w:style w:type="character" w:customStyle="1" w:styleId="material-icons-extended">
    <w:name w:val="material-icons-extended"/>
    <w:basedOn w:val="a1"/>
    <w:rsid w:val="007C3F84"/>
  </w:style>
  <w:style w:type="character" w:customStyle="1" w:styleId="viiyi">
    <w:name w:val="viiyi"/>
    <w:basedOn w:val="a1"/>
    <w:rsid w:val="00894556"/>
  </w:style>
  <w:style w:type="character" w:styleId="af3">
    <w:name w:val="Placeholder Text"/>
    <w:basedOn w:val="a1"/>
    <w:uiPriority w:val="99"/>
    <w:semiHidden/>
    <w:rsid w:val="00A13C1A"/>
    <w:rPr>
      <w:color w:val="808080"/>
    </w:rPr>
  </w:style>
  <w:style w:type="paragraph" w:customStyle="1" w:styleId="Default">
    <w:name w:val="Default"/>
    <w:rsid w:val="00833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4">
    <w:name w:val="footer"/>
    <w:basedOn w:val="a0"/>
    <w:link w:val="af5"/>
    <w:uiPriority w:val="99"/>
    <w:unhideWhenUsed/>
    <w:rsid w:val="00D302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D302E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onsPlusNormal">
    <w:name w:val="ConsPlusNormal"/>
    <w:rsid w:val="001E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78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82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1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4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da.k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6475-D9E0-46A9-A821-56908B5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6141</Words>
  <Characters>35005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41064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Грєвцова Катерина Петрівна</dc:creator>
  <cp:lastModifiedBy>Коранова Толганай Сабыровна</cp:lastModifiedBy>
  <cp:revision>13</cp:revision>
  <cp:lastPrinted>2022-04-26T08:09:00Z</cp:lastPrinted>
  <dcterms:created xsi:type="dcterms:W3CDTF">2022-07-27T12:33:00Z</dcterms:created>
  <dcterms:modified xsi:type="dcterms:W3CDTF">2023-03-14T06:20:00Z</dcterms:modified>
</cp:coreProperties>
</file>