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F6" w:rsidRPr="00503B7C" w:rsidRDefault="009443F6" w:rsidP="00F60E8D">
      <w:pPr>
        <w:pStyle w:val="ConsPlusNormal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9443F6" w:rsidRPr="007F23D0" w:rsidRDefault="009443F6" w:rsidP="00F60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23D0">
        <w:rPr>
          <w:rFonts w:ascii="Times New Roman" w:hAnsi="Times New Roman" w:cs="Times New Roman"/>
          <w:sz w:val="24"/>
          <w:szCs w:val="24"/>
        </w:rPr>
        <w:t xml:space="preserve">Приказом Председателя </w:t>
      </w:r>
    </w:p>
    <w:p w:rsidR="006A4FBA" w:rsidRPr="007F23D0" w:rsidRDefault="009443F6" w:rsidP="00F60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23D0">
        <w:rPr>
          <w:rFonts w:ascii="Times New Roman" w:hAnsi="Times New Roman" w:cs="Times New Roman"/>
          <w:sz w:val="24"/>
          <w:szCs w:val="24"/>
        </w:rPr>
        <w:t>РГУ «</w:t>
      </w:r>
      <w:r w:rsidR="00F60E8D" w:rsidRPr="007F23D0">
        <w:rPr>
          <w:rFonts w:ascii="Times New Roman" w:hAnsi="Times New Roman" w:cs="Times New Roman"/>
          <w:sz w:val="24"/>
          <w:szCs w:val="24"/>
        </w:rPr>
        <w:t>Комитет</w:t>
      </w:r>
      <w:r w:rsidR="000F701C">
        <w:rPr>
          <w:rFonts w:ascii="Times New Roman" w:hAnsi="Times New Roman" w:cs="Times New Roman"/>
          <w:sz w:val="24"/>
          <w:szCs w:val="24"/>
        </w:rPr>
        <w:t xml:space="preserve"> </w:t>
      </w:r>
      <w:r w:rsidR="006A4FBA" w:rsidRPr="007F23D0">
        <w:rPr>
          <w:rFonts w:ascii="Times New Roman" w:hAnsi="Times New Roman" w:cs="Times New Roman"/>
          <w:sz w:val="24"/>
          <w:szCs w:val="24"/>
        </w:rPr>
        <w:t>медицинского и</w:t>
      </w:r>
    </w:p>
    <w:p w:rsidR="006A4FBA" w:rsidRPr="007F23D0" w:rsidRDefault="006A4FBA" w:rsidP="00F60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23D0">
        <w:rPr>
          <w:rFonts w:ascii="Times New Roman" w:hAnsi="Times New Roman" w:cs="Times New Roman"/>
          <w:sz w:val="24"/>
          <w:szCs w:val="24"/>
        </w:rPr>
        <w:t xml:space="preserve">фармацевтического контроля </w:t>
      </w:r>
    </w:p>
    <w:p w:rsidR="006A4FBA" w:rsidRPr="007F23D0" w:rsidRDefault="006A4FBA" w:rsidP="00F60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23D0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</w:t>
      </w:r>
    </w:p>
    <w:p w:rsidR="009443F6" w:rsidRPr="007F23D0" w:rsidRDefault="006A4FBA" w:rsidP="00F60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7F23D0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="003F5330" w:rsidRPr="007F23D0">
        <w:rPr>
          <w:rFonts w:ascii="Times New Roman" w:hAnsi="Times New Roman" w:cs="Times New Roman"/>
          <w:sz w:val="24"/>
          <w:szCs w:val="24"/>
        </w:rPr>
        <w:t>»</w:t>
      </w:r>
    </w:p>
    <w:p w:rsidR="00975D38" w:rsidRPr="00975D38" w:rsidRDefault="00975D38" w:rsidP="00975D3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975D38">
        <w:rPr>
          <w:rFonts w:ascii="Times New Roman" w:hAnsi="Times New Roman" w:cs="Times New Roman"/>
          <w:sz w:val="24"/>
          <w:szCs w:val="24"/>
        </w:rPr>
        <w:t>от «____»____________20__г.</w:t>
      </w:r>
    </w:p>
    <w:p w:rsidR="003940FB" w:rsidRDefault="00975D38" w:rsidP="00975D38">
      <w:pPr>
        <w:pStyle w:val="ConsPlusNormal"/>
        <w:ind w:left="567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5D38">
        <w:rPr>
          <w:rFonts w:ascii="Times New Roman" w:hAnsi="Times New Roman" w:cs="Times New Roman"/>
          <w:sz w:val="24"/>
          <w:szCs w:val="24"/>
        </w:rPr>
        <w:t>№ ______________</w:t>
      </w:r>
    </w:p>
    <w:p w:rsidR="00503B7C" w:rsidRPr="007F23D0" w:rsidRDefault="00503B7C" w:rsidP="007F23D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3304A6" w:rsidRPr="00672F1D" w:rsidRDefault="003304A6" w:rsidP="006724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443F6" w:rsidRPr="00672F1D" w:rsidRDefault="009443F6" w:rsidP="006724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F1D">
        <w:rPr>
          <w:rFonts w:ascii="Times New Roman" w:hAnsi="Times New Roman" w:cs="Times New Roman"/>
          <w:b/>
          <w:sz w:val="24"/>
          <w:szCs w:val="24"/>
        </w:rPr>
        <w:t>ОБЩАЯ ХАРАКТЕРИСТИКА ЛЕКАРСТВЕННОГО ПРЕПАРАТА</w:t>
      </w:r>
    </w:p>
    <w:p w:rsidR="00E21047" w:rsidRPr="00672F1D" w:rsidRDefault="00E21047" w:rsidP="00672445">
      <w:pPr>
        <w:pStyle w:val="ConsPlusNormal"/>
        <w:jc w:val="both"/>
        <w:rPr>
          <w:b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1. НАИМЕНОВАНИЕ ЛЕКАРСТВЕННОГО ПРЕПАРАТА</w:t>
      </w:r>
    </w:p>
    <w:p w:rsidR="00E21047" w:rsidRPr="00503B7C" w:rsidRDefault="00082743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E21047" w:rsidRPr="00503B7C">
        <w:rPr>
          <w:rFonts w:ascii="Times New Roman" w:hAnsi="Times New Roman" w:cs="Times New Roman"/>
          <w:sz w:val="24"/>
          <w:szCs w:val="24"/>
        </w:rPr>
        <w:t xml:space="preserve">, </w:t>
      </w:r>
      <w:r w:rsidR="005D4192">
        <w:rPr>
          <w:rFonts w:ascii="Times New Roman" w:hAnsi="Times New Roman" w:cs="Times New Roman"/>
          <w:sz w:val="24"/>
          <w:szCs w:val="24"/>
        </w:rPr>
        <w:t>10</w:t>
      </w:r>
      <w:r w:rsidR="00895106" w:rsidRPr="00503B7C">
        <w:rPr>
          <w:rFonts w:ascii="Times New Roman" w:hAnsi="Times New Roman" w:cs="Times New Roman"/>
          <w:sz w:val="24"/>
          <w:szCs w:val="24"/>
        </w:rPr>
        <w:t xml:space="preserve"> мг</w:t>
      </w:r>
      <w:r w:rsidR="00E21047" w:rsidRPr="00503B7C">
        <w:rPr>
          <w:rFonts w:ascii="Times New Roman" w:hAnsi="Times New Roman" w:cs="Times New Roman"/>
          <w:sz w:val="24"/>
          <w:szCs w:val="24"/>
        </w:rPr>
        <w:t xml:space="preserve">, </w:t>
      </w:r>
      <w:r w:rsidR="004514B6" w:rsidRPr="004514B6">
        <w:rPr>
          <w:rFonts w:ascii="Times New Roman" w:hAnsi="Times New Roman" w:cs="Times New Roman"/>
          <w:sz w:val="24"/>
          <w:szCs w:val="24"/>
        </w:rPr>
        <w:t>таблетки, покрытые пленочной оболочкой</w:t>
      </w:r>
    </w:p>
    <w:p w:rsidR="005D4192" w:rsidRPr="00503B7C" w:rsidRDefault="005D4192" w:rsidP="005D41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03B7C">
        <w:rPr>
          <w:rFonts w:ascii="Times New Roman" w:hAnsi="Times New Roman" w:cs="Times New Roman"/>
          <w:sz w:val="24"/>
          <w:szCs w:val="24"/>
        </w:rPr>
        <w:t xml:space="preserve"> мг, </w:t>
      </w:r>
      <w:r w:rsidRPr="004514B6">
        <w:rPr>
          <w:rFonts w:ascii="Times New Roman" w:hAnsi="Times New Roman" w:cs="Times New Roman"/>
          <w:sz w:val="24"/>
          <w:szCs w:val="24"/>
        </w:rPr>
        <w:t>таблетки, покрытые пленочной оболочкой</w:t>
      </w:r>
    </w:p>
    <w:p w:rsidR="00633B23" w:rsidRPr="00503B7C" w:rsidRDefault="00633B23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2. КАЧЕСТВЕННЫЙ И КОЛИЧЕСТВЕННЫЙ СОСТАВ</w:t>
      </w:r>
    </w:p>
    <w:p w:rsidR="00E21047" w:rsidRPr="00503B7C" w:rsidRDefault="001C486C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2.1 Общее описание</w:t>
      </w:r>
    </w:p>
    <w:p w:rsidR="00633B23" w:rsidRPr="00503B7C" w:rsidRDefault="00763F3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Р</w:t>
      </w:r>
      <w:r w:rsidR="00DE285E" w:rsidRPr="00503B7C">
        <w:rPr>
          <w:rFonts w:ascii="Times New Roman" w:hAnsi="Times New Roman" w:cs="Times New Roman"/>
          <w:sz w:val="24"/>
          <w:szCs w:val="24"/>
        </w:rPr>
        <w:t>озувастатин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2.2 Качественный и количественный состав</w:t>
      </w:r>
    </w:p>
    <w:p w:rsidR="00663E7E" w:rsidRPr="00503B7C" w:rsidRDefault="003F533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Одна</w:t>
      </w:r>
      <w:r w:rsidR="00464D7F" w:rsidRPr="00503B7C">
        <w:rPr>
          <w:rFonts w:ascii="Times New Roman" w:hAnsi="Times New Roman" w:cs="Times New Roman"/>
          <w:sz w:val="24"/>
          <w:szCs w:val="24"/>
        </w:rPr>
        <w:t xml:space="preserve"> таблетка содержит</w:t>
      </w:r>
    </w:p>
    <w:p w:rsidR="005D4192" w:rsidRDefault="00663E7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активное вещество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- </w:t>
      </w:r>
      <w:r w:rsidR="005D4192" w:rsidRPr="005D4192">
        <w:rPr>
          <w:rFonts w:ascii="Times New Roman" w:hAnsi="Times New Roman" w:cs="Times New Roman"/>
          <w:sz w:val="24"/>
          <w:szCs w:val="24"/>
        </w:rPr>
        <w:t>кальциевая соль розувастатина 10.40 мг или 20.80 мг, эквивалентно розувастатину 10.00 мг или 20 мг, соответственно,</w:t>
      </w:r>
    </w:p>
    <w:p w:rsidR="00D81634" w:rsidRPr="003F31F2" w:rsidRDefault="00D81634" w:rsidP="00D81634">
      <w:pPr>
        <w:jc w:val="both"/>
        <w:rPr>
          <w:iCs/>
          <w:sz w:val="24"/>
          <w:szCs w:val="24"/>
        </w:rPr>
      </w:pPr>
      <w:bookmarkStart w:id="0" w:name="_GoBack"/>
      <w:r w:rsidRPr="00D81634">
        <w:rPr>
          <w:i/>
          <w:iCs/>
          <w:sz w:val="24"/>
          <w:szCs w:val="24"/>
        </w:rPr>
        <w:t>Вспомогательные вещества, наличие которых надо учитывать в составе лекарственного препарата:</w:t>
      </w:r>
      <w:r w:rsidRPr="003F31F2">
        <w:rPr>
          <w:iCs/>
          <w:sz w:val="24"/>
          <w:szCs w:val="24"/>
        </w:rPr>
        <w:t xml:space="preserve"> </w:t>
      </w:r>
      <w:bookmarkEnd w:id="0"/>
      <w:r w:rsidRPr="003F31F2">
        <w:rPr>
          <w:bCs/>
          <w:caps/>
          <w:sz w:val="24"/>
          <w:szCs w:val="24"/>
          <w:highlight w:val="lightGray"/>
        </w:rPr>
        <w:t>[согласно НД РК и приложения 17 Приказа 10]</w:t>
      </w:r>
      <w:r w:rsidRPr="003F31F2">
        <w:rPr>
          <w:bCs/>
          <w:noProof/>
          <w:sz w:val="24"/>
          <w:szCs w:val="24"/>
        </w:rPr>
        <w:t xml:space="preserve"> </w:t>
      </w:r>
      <w:r w:rsidRPr="003F31F2">
        <w:rPr>
          <w:noProof/>
          <w:sz w:val="24"/>
          <w:szCs w:val="24"/>
        </w:rPr>
        <w:t xml:space="preserve"> 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Полный список вспомогательных веществ см. в </w:t>
      </w:r>
      <w:hyperlink w:anchor="Par2319" w:tooltip="6.1. Перечень вспомогательных веществ." w:history="1">
        <w:r w:rsidR="004767BF">
          <w:rPr>
            <w:rFonts w:ascii="Times New Roman" w:hAnsi="Times New Roman" w:cs="Times New Roman"/>
            <w:sz w:val="24"/>
            <w:szCs w:val="24"/>
            <w:lang w:val="kk-KZ"/>
          </w:rPr>
          <w:t>раздел</w:t>
        </w:r>
        <w:r w:rsidRPr="00503B7C">
          <w:rPr>
            <w:rFonts w:ascii="Times New Roman" w:hAnsi="Times New Roman" w:cs="Times New Roman"/>
            <w:sz w:val="24"/>
            <w:szCs w:val="24"/>
          </w:rPr>
          <w:t>е 6.1</w:t>
        </w:r>
      </w:hyperlink>
      <w:r w:rsidR="00663E7E" w:rsidRPr="00503B7C">
        <w:rPr>
          <w:rFonts w:ascii="Times New Roman" w:hAnsi="Times New Roman" w:cs="Times New Roman"/>
          <w:sz w:val="24"/>
          <w:szCs w:val="24"/>
        </w:rPr>
        <w:t>.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3. ЛЕКАРСТВЕННАЯ ФОРМА</w:t>
      </w:r>
    </w:p>
    <w:p w:rsidR="005D4192" w:rsidRDefault="005D4192" w:rsidP="005D4192">
      <w:pPr>
        <w:jc w:val="both"/>
        <w:rPr>
          <w:rFonts w:eastAsiaTheme="minorEastAsia"/>
          <w:sz w:val="24"/>
          <w:szCs w:val="24"/>
        </w:rPr>
      </w:pPr>
      <w:r w:rsidRPr="005D4192">
        <w:rPr>
          <w:rFonts w:eastAsiaTheme="minorEastAsia"/>
          <w:sz w:val="24"/>
          <w:szCs w:val="24"/>
        </w:rPr>
        <w:t>[ТОРГОВОЕ НАЗВАНИЕ], 10 мг, таблетки, покрытые пленочной оболочкой</w:t>
      </w:r>
    </w:p>
    <w:p w:rsidR="005D4192" w:rsidRPr="00082743" w:rsidRDefault="005D4192" w:rsidP="005D4192">
      <w:pPr>
        <w:jc w:val="both"/>
        <w:rPr>
          <w:rFonts w:eastAsia="Calibri"/>
          <w:sz w:val="24"/>
          <w:szCs w:val="24"/>
          <w:lang w:eastAsia="en-US"/>
        </w:rPr>
      </w:pPr>
      <w:r w:rsidRPr="00082743">
        <w:rPr>
          <w:rFonts w:eastAsia="Calibri"/>
          <w:bCs/>
          <w:caps/>
          <w:sz w:val="24"/>
          <w:szCs w:val="24"/>
          <w:lang w:eastAsia="en-US"/>
        </w:rPr>
        <w:t>[</w:t>
      </w:r>
      <w:r w:rsidRPr="00082743">
        <w:rPr>
          <w:rFonts w:eastAsia="Calibri"/>
          <w:bCs/>
          <w:caps/>
          <w:sz w:val="24"/>
          <w:szCs w:val="24"/>
          <w:highlight w:val="lightGray"/>
          <w:lang w:eastAsia="en-US"/>
        </w:rPr>
        <w:t>оПИСАНИЕ СОГЛАСНО нд рк</w:t>
      </w:r>
      <w:r w:rsidRPr="00082743">
        <w:rPr>
          <w:rFonts w:eastAsia="Calibri"/>
          <w:bCs/>
          <w:caps/>
          <w:sz w:val="24"/>
          <w:szCs w:val="24"/>
          <w:lang w:eastAsia="en-US"/>
        </w:rPr>
        <w:t>]</w:t>
      </w:r>
    </w:p>
    <w:p w:rsidR="00082743" w:rsidRDefault="005D4192" w:rsidP="005D4192">
      <w:pPr>
        <w:jc w:val="both"/>
        <w:rPr>
          <w:rFonts w:eastAsia="Calibri"/>
          <w:bCs/>
          <w:caps/>
          <w:sz w:val="24"/>
          <w:szCs w:val="24"/>
          <w:lang w:eastAsia="en-US"/>
        </w:rPr>
      </w:pPr>
      <w:r w:rsidRPr="005D4192">
        <w:rPr>
          <w:rFonts w:eastAsiaTheme="minorEastAsia"/>
          <w:sz w:val="24"/>
          <w:szCs w:val="24"/>
        </w:rPr>
        <w:t>[ТОРГОВОЕ НАЗВАНИЕ], 20 мг, таблетки, покрытые пленочной оболочкой</w:t>
      </w:r>
      <w:r w:rsidRPr="005D4192">
        <w:rPr>
          <w:rFonts w:eastAsiaTheme="minorEastAsia"/>
          <w:bCs/>
          <w:caps/>
          <w:sz w:val="24"/>
          <w:szCs w:val="24"/>
          <w:lang w:eastAsia="en-US"/>
        </w:rPr>
        <w:t xml:space="preserve"> </w:t>
      </w:r>
      <w:r w:rsidR="00082743" w:rsidRPr="00082743">
        <w:rPr>
          <w:rFonts w:eastAsia="Calibri"/>
          <w:bCs/>
          <w:caps/>
          <w:sz w:val="24"/>
          <w:szCs w:val="24"/>
          <w:lang w:eastAsia="en-US"/>
        </w:rPr>
        <w:t>[</w:t>
      </w:r>
      <w:r w:rsidR="00082743" w:rsidRPr="00082743">
        <w:rPr>
          <w:rFonts w:eastAsia="Calibri"/>
          <w:bCs/>
          <w:caps/>
          <w:sz w:val="24"/>
          <w:szCs w:val="24"/>
          <w:highlight w:val="lightGray"/>
          <w:lang w:eastAsia="en-US"/>
        </w:rPr>
        <w:t>оПИСАНИЕ СОГЛАСНО нд рк</w:t>
      </w:r>
      <w:r w:rsidR="00082743" w:rsidRPr="00082743">
        <w:rPr>
          <w:rFonts w:eastAsia="Calibri"/>
          <w:bCs/>
          <w:caps/>
          <w:sz w:val="24"/>
          <w:szCs w:val="24"/>
          <w:lang w:eastAsia="en-US"/>
        </w:rPr>
        <w:t>]</w:t>
      </w:r>
    </w:p>
    <w:p w:rsidR="005D4192" w:rsidRPr="00082743" w:rsidRDefault="005D4192" w:rsidP="005D4192">
      <w:pPr>
        <w:jc w:val="both"/>
        <w:rPr>
          <w:rFonts w:eastAsia="Calibri"/>
          <w:sz w:val="24"/>
          <w:szCs w:val="24"/>
          <w:lang w:eastAsia="en-US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4. КЛИНИЧЕСКИЕ ДАННЫЕ</w:t>
      </w: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4.1. Показания к применению</w:t>
      </w:r>
    </w:p>
    <w:p w:rsidR="00663E7E" w:rsidRPr="00503B7C" w:rsidRDefault="00975D38" w:rsidP="00975D38">
      <w:pPr>
        <w:pStyle w:val="ConsPlusNormal"/>
        <w:ind w:left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63E7E" w:rsidRPr="00503B7C">
        <w:rPr>
          <w:rFonts w:ascii="Times New Roman" w:hAnsi="Times New Roman" w:cs="Times New Roman"/>
          <w:sz w:val="24"/>
          <w:szCs w:val="24"/>
        </w:rPr>
        <w:t>ерапия гиперхолестеринемии</w:t>
      </w:r>
    </w:p>
    <w:p w:rsidR="00663E7E" w:rsidRPr="00503B7C" w:rsidRDefault="00663E7E" w:rsidP="00224416">
      <w:pPr>
        <w:pStyle w:val="ConsPlusNormal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первичная гиперхолестеринемия (тип IIa, включая семейную гетерозиготную гиперхолестеринемию) или смешанная дислипидемия (тип IIb) </w:t>
      </w:r>
      <w:bookmarkStart w:id="1" w:name="_Hlk32997759"/>
      <w:r w:rsidRPr="00503B7C">
        <w:rPr>
          <w:rFonts w:ascii="Times New Roman" w:hAnsi="Times New Roman" w:cs="Times New Roman"/>
          <w:sz w:val="24"/>
          <w:szCs w:val="24"/>
        </w:rPr>
        <w:t xml:space="preserve">у  взрослых, подростков и детей в возрасте от 6 лет и старше </w:t>
      </w:r>
      <w:bookmarkEnd w:id="1"/>
      <w:r w:rsidRPr="00503B7C">
        <w:rPr>
          <w:rFonts w:ascii="Times New Roman" w:hAnsi="Times New Roman" w:cs="Times New Roman"/>
          <w:sz w:val="24"/>
          <w:szCs w:val="24"/>
        </w:rPr>
        <w:t>в качестве дополнения к диете, когда диета и другие немедикаментозные методы лечения (например, физические упражнения, снижение массы тела) оказываются недостаточными</w:t>
      </w:r>
    </w:p>
    <w:p w:rsidR="00663E7E" w:rsidRPr="00503B7C" w:rsidRDefault="00663E7E" w:rsidP="00224416">
      <w:pPr>
        <w:pStyle w:val="ConsPlusNormal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семейная гомозиготная гиперхолестеринемия у  взрослых, подростков и детей в возрасте от 6 лет и старше в качестве дополнения к диете и другой липидснижающей терапии (например, ЛПНП-аферез), или в случаях, когда подобная терапия не подходит пациенту</w:t>
      </w:r>
    </w:p>
    <w:p w:rsidR="00663E7E" w:rsidRPr="00503B7C" w:rsidRDefault="00975D38" w:rsidP="00975D38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3E7E" w:rsidRPr="00503B7C">
        <w:rPr>
          <w:rFonts w:ascii="Times New Roman" w:hAnsi="Times New Roman" w:cs="Times New Roman"/>
          <w:sz w:val="24"/>
          <w:szCs w:val="24"/>
        </w:rPr>
        <w:t>рофилактика сердечно-сосудистых заболеваний</w:t>
      </w:r>
    </w:p>
    <w:p w:rsidR="00663E7E" w:rsidRPr="00503B7C" w:rsidRDefault="00663E7E" w:rsidP="00224416">
      <w:pPr>
        <w:pStyle w:val="ConsPlusNormal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профилактика сердечно-сосудистых осложнений у взрослых пациентов </w:t>
      </w:r>
      <w:r w:rsidR="004C0395" w:rsidRPr="00503B7C">
        <w:rPr>
          <w:rFonts w:ascii="Times New Roman" w:hAnsi="Times New Roman" w:cs="Times New Roman"/>
          <w:sz w:val="24"/>
          <w:szCs w:val="24"/>
        </w:rPr>
        <w:t xml:space="preserve">с </w:t>
      </w:r>
      <w:r w:rsidRPr="00503B7C">
        <w:rPr>
          <w:rFonts w:ascii="Times New Roman" w:hAnsi="Times New Roman" w:cs="Times New Roman"/>
          <w:sz w:val="24"/>
          <w:szCs w:val="24"/>
        </w:rPr>
        <w:t>высок</w:t>
      </w:r>
      <w:r w:rsidR="004C0395" w:rsidRPr="00503B7C">
        <w:rPr>
          <w:rFonts w:ascii="Times New Roman" w:hAnsi="Times New Roman" w:cs="Times New Roman"/>
          <w:sz w:val="24"/>
          <w:szCs w:val="24"/>
        </w:rPr>
        <w:t>им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риск</w:t>
      </w:r>
      <w:r w:rsidR="004C0395" w:rsidRPr="00503B7C">
        <w:rPr>
          <w:rFonts w:ascii="Times New Roman" w:hAnsi="Times New Roman" w:cs="Times New Roman"/>
          <w:sz w:val="24"/>
          <w:szCs w:val="24"/>
        </w:rPr>
        <w:t>ом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возникновения сердечно-сосудистых событий как дополнение к коррекци</w:t>
      </w:r>
      <w:r w:rsidR="00224416">
        <w:rPr>
          <w:rFonts w:ascii="Times New Roman" w:hAnsi="Times New Roman" w:cs="Times New Roman"/>
          <w:sz w:val="24"/>
          <w:szCs w:val="24"/>
        </w:rPr>
        <w:t>и/терапии других факторов риска</w:t>
      </w:r>
    </w:p>
    <w:p w:rsidR="00FB37A1" w:rsidRPr="00503B7C" w:rsidRDefault="00FB37A1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2246"/>
      <w:bookmarkEnd w:id="2"/>
      <w:r w:rsidRPr="00503B7C">
        <w:rPr>
          <w:rFonts w:ascii="Times New Roman" w:hAnsi="Times New Roman" w:cs="Times New Roman"/>
          <w:b/>
          <w:sz w:val="24"/>
          <w:szCs w:val="24"/>
        </w:rPr>
        <w:t>4.2. Режим дозирования и способ применения</w:t>
      </w:r>
    </w:p>
    <w:p w:rsidR="00E761EA" w:rsidRPr="00503B7C" w:rsidRDefault="00E761EA" w:rsidP="00503B7C">
      <w:pPr>
        <w:jc w:val="both"/>
        <w:rPr>
          <w:rFonts w:eastAsia="Arial Unicode MS"/>
          <w:sz w:val="24"/>
          <w:szCs w:val="24"/>
        </w:rPr>
      </w:pPr>
      <w:bookmarkStart w:id="3" w:name="_Hlk33793217"/>
      <w:r w:rsidRPr="00503B7C">
        <w:rPr>
          <w:rFonts w:eastAsia="Arial Unicode MS"/>
          <w:sz w:val="24"/>
          <w:szCs w:val="24"/>
        </w:rPr>
        <w:lastRenderedPageBreak/>
        <w:t xml:space="preserve">До начала и во время терапии </w:t>
      </w:r>
      <w:r w:rsidR="006819DA" w:rsidRPr="00503B7C">
        <w:rPr>
          <w:rFonts w:eastAsia="Arial Unicode MS"/>
          <w:sz w:val="24"/>
          <w:szCs w:val="24"/>
        </w:rPr>
        <w:t xml:space="preserve">препаратом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пациент должен соблюдать стандартную гиполипидемическую диету. </w:t>
      </w:r>
    </w:p>
    <w:bookmarkEnd w:id="3"/>
    <w:p w:rsidR="004C3494" w:rsidRPr="00503B7C" w:rsidRDefault="006819DA" w:rsidP="00503B7C">
      <w:pPr>
        <w:jc w:val="both"/>
        <w:rPr>
          <w:rFonts w:eastAsia="Arial Unicode MS"/>
          <w:b/>
          <w:sz w:val="24"/>
          <w:szCs w:val="24"/>
        </w:rPr>
      </w:pPr>
      <w:r w:rsidRPr="00503B7C">
        <w:rPr>
          <w:rFonts w:eastAsia="Arial Unicode MS"/>
          <w:b/>
          <w:sz w:val="24"/>
          <w:szCs w:val="24"/>
        </w:rPr>
        <w:t xml:space="preserve">Режим дозирования </w:t>
      </w:r>
      <w:bookmarkStart w:id="4" w:name="_Hlk33793267"/>
    </w:p>
    <w:p w:rsidR="00503B7C" w:rsidRPr="00503B7C" w:rsidRDefault="00E761EA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Доза препарата должна подбираться индивидуально в зависимости от целей терапии и</w:t>
      </w:r>
    </w:p>
    <w:p w:rsidR="00E761EA" w:rsidRPr="00503B7C" w:rsidRDefault="00E761EA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ответа на лечение.</w:t>
      </w:r>
    </w:p>
    <w:p w:rsidR="006819DA" w:rsidRPr="00503B7C" w:rsidRDefault="006819DA" w:rsidP="00503B7C">
      <w:pPr>
        <w:jc w:val="both"/>
        <w:rPr>
          <w:rFonts w:eastAsia="Arial Unicode MS"/>
          <w:i/>
          <w:sz w:val="24"/>
          <w:szCs w:val="24"/>
          <w:u w:val="single"/>
        </w:rPr>
      </w:pPr>
      <w:bookmarkStart w:id="5" w:name="_Hlk33793280"/>
      <w:bookmarkEnd w:id="4"/>
      <w:r w:rsidRPr="00503B7C">
        <w:rPr>
          <w:rFonts w:eastAsia="Arial Unicode MS"/>
          <w:i/>
          <w:sz w:val="24"/>
          <w:szCs w:val="24"/>
          <w:u w:val="single"/>
        </w:rPr>
        <w:t>Лечение гиперхолестеринемии</w:t>
      </w:r>
    </w:p>
    <w:p w:rsidR="00E761EA" w:rsidRPr="00503B7C" w:rsidRDefault="00E761EA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Рекомендуемая начальная доза для пациентов, начинающих принимать препарат, или для пациентов, переведенных с приема других ингибиторов ГМГ-КоА</w:t>
      </w:r>
      <w:r w:rsidR="00FB0F7F" w:rsidRPr="00503B7C">
        <w:rPr>
          <w:rFonts w:eastAsia="Arial Unicode MS"/>
          <w:sz w:val="24"/>
          <w:szCs w:val="24"/>
        </w:rPr>
        <w:t>-</w:t>
      </w:r>
      <w:r w:rsidRPr="00503B7C">
        <w:rPr>
          <w:rFonts w:eastAsia="Arial Unicode MS"/>
          <w:sz w:val="24"/>
          <w:szCs w:val="24"/>
        </w:rPr>
        <w:t xml:space="preserve">редуктазы, должна составлять 5 или 10 мг </w:t>
      </w:r>
      <w:r w:rsidR="00A56837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1 раз в сутки. При выборе начальной дозы следует руководствоваться уровнем содержания холестерина и принимать во внимание возможный риск сердечно-сосудистых осложнений, а также необходимо оценивать потенциальный риск развития побочных эффектов.  В случае  необходимости, доза может быть увеличена после 4 недель приема препарата. Дозу препарата повышать постепенно. </w:t>
      </w:r>
    </w:p>
    <w:p w:rsidR="00E761EA" w:rsidRPr="00503B7C" w:rsidRDefault="00E761EA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В связи с возможным развитием побочных эффектов при приёме дозы 40 мг, повышение дозы до максимальной 40 мг может рассматриваться только у пациентов с тяжелой гиперхолестеринемией и с высоким риском сердечно-сосудистых осложнений (особенно у пациентов с семейной гиперхолестеринемией), у которых не был достигнут желаемый результат терапии при приёме дозы 20 мг. Рекомендуется наблюдение за пациентами, получающими препарат в дозе 40 мг. </w:t>
      </w:r>
    </w:p>
    <w:p w:rsidR="00DD78D9" w:rsidRPr="00503B7C" w:rsidRDefault="00DD78D9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Профилактика сердечно-сосудистых осложнений у взрослых пациентов с повышенным риском развития сердечно-сосудистого заболевания в качестве вспомогательной терапии </w:t>
      </w:r>
    </w:p>
    <w:p w:rsidR="00686DBA" w:rsidRPr="00503B7C" w:rsidRDefault="00DD78D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Рекомендуемая доза - 20 мг один раз в сутки.</w:t>
      </w:r>
    </w:p>
    <w:p w:rsidR="008C661A" w:rsidRPr="00503B7C" w:rsidRDefault="008C661A" w:rsidP="00503B7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eastAsia="Arial Unicode MS" w:hAnsi="Times New Roman" w:cs="Times New Roman"/>
          <w:sz w:val="24"/>
          <w:szCs w:val="24"/>
        </w:rPr>
        <w:t xml:space="preserve">Не рекомендуется назначение дозы 40 мг пациентам, ранее не принимавшим препарат. После 2-4 недель терапии и/или при повышении дозы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eastAsia="Arial Unicode MS" w:hAnsi="Times New Roman" w:cs="Times New Roman"/>
          <w:sz w:val="24"/>
          <w:szCs w:val="24"/>
        </w:rPr>
        <w:t xml:space="preserve"> необходим контроль показателей липидного обмена (при необходимости требуется коррекция дозы).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Особые группы пациентов</w:t>
      </w:r>
    </w:p>
    <w:p w:rsidR="00686DBA" w:rsidRPr="00503B7C" w:rsidRDefault="00686DBA" w:rsidP="00503B7C">
      <w:pPr>
        <w:pStyle w:val="1"/>
        <w:jc w:val="both"/>
        <w:rPr>
          <w:i/>
          <w:sz w:val="24"/>
          <w:szCs w:val="24"/>
        </w:rPr>
      </w:pPr>
      <w:bookmarkStart w:id="6" w:name="_Hlk33793446"/>
      <w:bookmarkEnd w:id="5"/>
      <w:r w:rsidRPr="00503B7C">
        <w:rPr>
          <w:i/>
          <w:sz w:val="24"/>
          <w:szCs w:val="24"/>
        </w:rPr>
        <w:t>Пациенты детского возраста</w:t>
      </w:r>
    </w:p>
    <w:p w:rsidR="00686DBA" w:rsidRPr="00503B7C" w:rsidRDefault="00686DBA" w:rsidP="00503B7C">
      <w:pPr>
        <w:pStyle w:val="a5"/>
        <w:jc w:val="both"/>
        <w:rPr>
          <w:sz w:val="24"/>
          <w:szCs w:val="24"/>
          <w:lang w:val="ru-RU"/>
        </w:rPr>
      </w:pPr>
      <w:r w:rsidRPr="00503B7C">
        <w:rPr>
          <w:sz w:val="24"/>
          <w:szCs w:val="24"/>
        </w:rPr>
        <w:t xml:space="preserve">Применение </w:t>
      </w:r>
      <w:r w:rsidR="00A950BE" w:rsidRPr="00503B7C">
        <w:rPr>
          <w:sz w:val="24"/>
          <w:szCs w:val="24"/>
        </w:rPr>
        <w:t>у детей</w:t>
      </w:r>
      <w:r w:rsidRPr="00503B7C">
        <w:rPr>
          <w:sz w:val="24"/>
          <w:szCs w:val="24"/>
        </w:rPr>
        <w:t xml:space="preserve"> только под наблюдением </w:t>
      </w:r>
      <w:r w:rsidR="00764CB0" w:rsidRPr="00503B7C">
        <w:rPr>
          <w:sz w:val="24"/>
          <w:szCs w:val="24"/>
        </w:rPr>
        <w:t>врача</w:t>
      </w:r>
      <w:r w:rsidRPr="00503B7C">
        <w:rPr>
          <w:sz w:val="24"/>
          <w:szCs w:val="24"/>
        </w:rPr>
        <w:t>.</w:t>
      </w:r>
    </w:p>
    <w:p w:rsidR="00686DBA" w:rsidRPr="00503B7C" w:rsidRDefault="00686DBA" w:rsidP="00503B7C">
      <w:pPr>
        <w:pStyle w:val="a5"/>
        <w:ind w:right="329"/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>Дети и подростки в возрасте от 6 до 17 лет (</w:t>
      </w:r>
      <w:r w:rsidR="006C756C" w:rsidRPr="00503B7C">
        <w:rPr>
          <w:i/>
          <w:sz w:val="24"/>
          <w:szCs w:val="24"/>
        </w:rPr>
        <w:t>шкала</w:t>
      </w:r>
      <w:r w:rsidRPr="00503B7C">
        <w:rPr>
          <w:i/>
          <w:sz w:val="24"/>
          <w:szCs w:val="24"/>
        </w:rPr>
        <w:t xml:space="preserve">Таннера&lt; II–V) </w:t>
      </w:r>
    </w:p>
    <w:p w:rsidR="00686DBA" w:rsidRPr="00503B7C" w:rsidRDefault="00686DBA" w:rsidP="00503B7C">
      <w:pPr>
        <w:pStyle w:val="a5"/>
        <w:ind w:right="329"/>
        <w:jc w:val="both"/>
        <w:rPr>
          <w:i/>
          <w:sz w:val="24"/>
          <w:szCs w:val="24"/>
          <w:lang w:val="ru-RU"/>
        </w:rPr>
      </w:pPr>
      <w:r w:rsidRPr="00503B7C">
        <w:rPr>
          <w:i/>
          <w:sz w:val="24"/>
          <w:szCs w:val="24"/>
        </w:rPr>
        <w:t>Гетерозиготная семейная гиперхолестеринемия</w:t>
      </w:r>
    </w:p>
    <w:p w:rsidR="00686DBA" w:rsidRPr="00503B7C" w:rsidRDefault="001B68DB" w:rsidP="00503B7C">
      <w:pPr>
        <w:pStyle w:val="a5"/>
        <w:ind w:right="187"/>
        <w:jc w:val="both"/>
        <w:rPr>
          <w:sz w:val="24"/>
          <w:szCs w:val="24"/>
          <w:lang w:val="ru-RU"/>
        </w:rPr>
      </w:pPr>
      <w:r w:rsidRPr="002D558C">
        <w:rPr>
          <w:sz w:val="24"/>
          <w:szCs w:val="24"/>
          <w:lang w:val="ru-RU"/>
        </w:rPr>
        <w:t>Для</w:t>
      </w:r>
      <w:r w:rsidR="00686DBA" w:rsidRPr="002D558C">
        <w:rPr>
          <w:sz w:val="24"/>
          <w:szCs w:val="24"/>
          <w:lang w:val="ru-RU"/>
        </w:rPr>
        <w:t xml:space="preserve"> детей и подростков с гетерозиготной семейной гиперхолестеринемией</w:t>
      </w:r>
      <w:r w:rsidR="00DE4C46">
        <w:rPr>
          <w:sz w:val="24"/>
          <w:szCs w:val="24"/>
          <w:lang w:val="ru-RU"/>
        </w:rPr>
        <w:t xml:space="preserve"> </w:t>
      </w:r>
      <w:r w:rsidR="00764CB0" w:rsidRPr="002D558C">
        <w:rPr>
          <w:sz w:val="24"/>
          <w:szCs w:val="24"/>
          <w:lang w:val="ru-RU"/>
        </w:rPr>
        <w:t>стандартная</w:t>
      </w:r>
      <w:r w:rsidR="00686DBA" w:rsidRPr="002D558C">
        <w:rPr>
          <w:sz w:val="24"/>
          <w:szCs w:val="24"/>
          <w:lang w:val="ru-RU"/>
        </w:rPr>
        <w:t xml:space="preserve"> начальная доза составляет 5</w:t>
      </w:r>
      <w:r w:rsidR="00686DBA" w:rsidRPr="00503B7C">
        <w:rPr>
          <w:sz w:val="24"/>
          <w:szCs w:val="24"/>
        </w:rPr>
        <w:t> </w:t>
      </w:r>
      <w:r w:rsidR="00686DBA" w:rsidRPr="002D558C">
        <w:rPr>
          <w:sz w:val="24"/>
          <w:szCs w:val="24"/>
          <w:lang w:val="ru-RU"/>
        </w:rPr>
        <w:t>мг</w:t>
      </w:r>
      <w:r w:rsidR="00764CB0" w:rsidRPr="002D558C">
        <w:rPr>
          <w:sz w:val="24"/>
          <w:szCs w:val="24"/>
          <w:lang w:val="ru-RU"/>
        </w:rPr>
        <w:t>.</w:t>
      </w:r>
    </w:p>
    <w:p w:rsidR="00686DBA" w:rsidRPr="00503B7C" w:rsidRDefault="00764CB0" w:rsidP="00503B7C">
      <w:pPr>
        <w:pStyle w:val="a9"/>
        <w:widowControl w:val="0"/>
        <w:tabs>
          <w:tab w:val="left" w:pos="593"/>
        </w:tabs>
        <w:autoSpaceDE w:val="0"/>
        <w:autoSpaceDN w:val="0"/>
        <w:ind w:left="0" w:right="322"/>
        <w:contextualSpacing w:val="0"/>
        <w:jc w:val="both"/>
        <w:rPr>
          <w:sz w:val="24"/>
          <w:szCs w:val="24"/>
        </w:rPr>
      </w:pPr>
      <w:r w:rsidRPr="00503B7C">
        <w:rPr>
          <w:sz w:val="24"/>
          <w:szCs w:val="24"/>
        </w:rPr>
        <w:t>- у</w:t>
      </w:r>
      <w:r w:rsidR="00686DBA" w:rsidRPr="00503B7C">
        <w:rPr>
          <w:sz w:val="24"/>
          <w:szCs w:val="24"/>
        </w:rPr>
        <w:t xml:space="preserve"> детей в возрасте от 6 до 9 лет с гетерозиготной семейной гиперхолестеринемией</w:t>
      </w:r>
      <w:r w:rsidR="00DE4C46">
        <w:rPr>
          <w:sz w:val="24"/>
          <w:szCs w:val="24"/>
        </w:rPr>
        <w:t xml:space="preserve"> </w:t>
      </w:r>
      <w:r w:rsidRPr="00503B7C">
        <w:rPr>
          <w:sz w:val="24"/>
          <w:szCs w:val="24"/>
        </w:rPr>
        <w:t xml:space="preserve">стандартная </w:t>
      </w:r>
      <w:r w:rsidR="00686DBA" w:rsidRPr="00503B7C">
        <w:rPr>
          <w:sz w:val="24"/>
          <w:szCs w:val="24"/>
        </w:rPr>
        <w:t>дозиров</w:t>
      </w:r>
      <w:r w:rsidRPr="00503B7C">
        <w:rPr>
          <w:sz w:val="24"/>
          <w:szCs w:val="24"/>
        </w:rPr>
        <w:t>ка</w:t>
      </w:r>
      <w:r w:rsidR="00686DBA" w:rsidRPr="00503B7C">
        <w:rPr>
          <w:sz w:val="24"/>
          <w:szCs w:val="24"/>
        </w:rPr>
        <w:t xml:space="preserve"> составляет 5–10 мг </w:t>
      </w:r>
      <w:r w:rsidRPr="00503B7C">
        <w:rPr>
          <w:sz w:val="24"/>
          <w:szCs w:val="24"/>
        </w:rPr>
        <w:t>внутрь</w:t>
      </w:r>
      <w:r w:rsidR="00686DBA" w:rsidRPr="00503B7C">
        <w:rPr>
          <w:sz w:val="24"/>
          <w:szCs w:val="24"/>
        </w:rPr>
        <w:t xml:space="preserve"> один раз в день. Эффективность и безопасность доз, превышающих 10 мг, не исследовалась у </w:t>
      </w:r>
      <w:r w:rsidRPr="00503B7C">
        <w:rPr>
          <w:sz w:val="24"/>
          <w:szCs w:val="24"/>
        </w:rPr>
        <w:t>данной</w:t>
      </w:r>
      <w:r w:rsidR="00686DBA" w:rsidRPr="00503B7C">
        <w:rPr>
          <w:sz w:val="24"/>
          <w:szCs w:val="24"/>
        </w:rPr>
        <w:t xml:space="preserve"> популяции.</w:t>
      </w:r>
    </w:p>
    <w:p w:rsidR="00686DBA" w:rsidRPr="00503B7C" w:rsidRDefault="00764CB0" w:rsidP="00503B7C">
      <w:pPr>
        <w:pStyle w:val="a9"/>
        <w:widowControl w:val="0"/>
        <w:tabs>
          <w:tab w:val="left" w:pos="592"/>
          <w:tab w:val="left" w:pos="593"/>
        </w:tabs>
        <w:autoSpaceDE w:val="0"/>
        <w:autoSpaceDN w:val="0"/>
        <w:ind w:left="0" w:right="303"/>
        <w:contextualSpacing w:val="0"/>
        <w:jc w:val="both"/>
        <w:rPr>
          <w:sz w:val="24"/>
          <w:szCs w:val="24"/>
        </w:rPr>
      </w:pPr>
      <w:r w:rsidRPr="00503B7C">
        <w:rPr>
          <w:sz w:val="24"/>
          <w:szCs w:val="24"/>
        </w:rPr>
        <w:t>- у</w:t>
      </w:r>
      <w:r w:rsidR="00686DBA" w:rsidRPr="00503B7C">
        <w:rPr>
          <w:sz w:val="24"/>
          <w:szCs w:val="24"/>
        </w:rPr>
        <w:t xml:space="preserve"> детей в возрасте от 10 до 17 лет с гетерозиготной семейной гиперхолестеринемией</w:t>
      </w:r>
      <w:r w:rsidR="00DE4C46">
        <w:rPr>
          <w:sz w:val="24"/>
          <w:szCs w:val="24"/>
        </w:rPr>
        <w:t xml:space="preserve"> </w:t>
      </w:r>
      <w:r w:rsidR="00B1465F" w:rsidRPr="00503B7C">
        <w:rPr>
          <w:sz w:val="24"/>
          <w:szCs w:val="24"/>
        </w:rPr>
        <w:t>стандартная дозировка</w:t>
      </w:r>
      <w:r w:rsidR="00686DBA" w:rsidRPr="00503B7C">
        <w:rPr>
          <w:sz w:val="24"/>
          <w:szCs w:val="24"/>
        </w:rPr>
        <w:t xml:space="preserve"> составляет 5–20 мг </w:t>
      </w:r>
      <w:r w:rsidR="00B1465F" w:rsidRPr="00503B7C">
        <w:rPr>
          <w:sz w:val="24"/>
          <w:szCs w:val="24"/>
        </w:rPr>
        <w:t xml:space="preserve">внутрь </w:t>
      </w:r>
      <w:r w:rsidR="00686DBA" w:rsidRPr="00503B7C">
        <w:rPr>
          <w:sz w:val="24"/>
          <w:szCs w:val="24"/>
        </w:rPr>
        <w:t>один раз в день. Эффективность и безопасность доз, превышающих 20 мг, не исследовалась</w:t>
      </w:r>
      <w:r w:rsidR="00A950BE" w:rsidRPr="00503B7C">
        <w:rPr>
          <w:sz w:val="24"/>
          <w:szCs w:val="24"/>
        </w:rPr>
        <w:t>.</w:t>
      </w:r>
    </w:p>
    <w:p w:rsidR="00686DBA" w:rsidRPr="00503B7C" w:rsidRDefault="00686DBA" w:rsidP="00503B7C">
      <w:pPr>
        <w:pStyle w:val="a5"/>
        <w:ind w:right="187"/>
        <w:jc w:val="both"/>
        <w:rPr>
          <w:sz w:val="24"/>
          <w:szCs w:val="24"/>
          <w:lang w:val="ru-RU"/>
        </w:rPr>
      </w:pPr>
      <w:r w:rsidRPr="00503B7C">
        <w:rPr>
          <w:sz w:val="24"/>
          <w:szCs w:val="24"/>
        </w:rPr>
        <w:t>Титрование следует проводить в соответствии с индивидуальным ответом и переносимостью у пациентов детского возраста согласно рекомендациям по лечению детей</w:t>
      </w:r>
      <w:r w:rsidR="003B6609" w:rsidRPr="00503B7C">
        <w:rPr>
          <w:sz w:val="24"/>
          <w:szCs w:val="24"/>
        </w:rPr>
        <w:t xml:space="preserve">. </w:t>
      </w:r>
      <w:r w:rsidRPr="00503B7C">
        <w:rPr>
          <w:sz w:val="24"/>
          <w:szCs w:val="24"/>
        </w:rPr>
        <w:t>Дети и подростки должны соблюдать стандартную гипохолестеринемическу</w:t>
      </w:r>
      <w:r w:rsidR="003B6609" w:rsidRPr="00503B7C">
        <w:rPr>
          <w:sz w:val="24"/>
          <w:szCs w:val="24"/>
        </w:rPr>
        <w:t>ю</w:t>
      </w:r>
      <w:r w:rsidRPr="00503B7C">
        <w:rPr>
          <w:sz w:val="24"/>
          <w:szCs w:val="24"/>
        </w:rPr>
        <w:t xml:space="preserve"> диету до начала приема </w:t>
      </w:r>
      <w:r w:rsidR="00B1465F" w:rsidRPr="00503B7C">
        <w:rPr>
          <w:sz w:val="24"/>
          <w:szCs w:val="24"/>
        </w:rPr>
        <w:t>и</w:t>
      </w:r>
      <w:r w:rsidRPr="00503B7C">
        <w:rPr>
          <w:sz w:val="24"/>
          <w:szCs w:val="24"/>
        </w:rPr>
        <w:t xml:space="preserve"> на протяжении всего лечения розувастатином.</w:t>
      </w:r>
    </w:p>
    <w:p w:rsidR="00686DBA" w:rsidRPr="00503B7C" w:rsidRDefault="00686DBA" w:rsidP="00503B7C">
      <w:pPr>
        <w:pStyle w:val="a5"/>
        <w:jc w:val="both"/>
        <w:rPr>
          <w:i/>
          <w:sz w:val="24"/>
          <w:szCs w:val="24"/>
          <w:u w:val="single"/>
          <w:lang w:val="ru-RU"/>
        </w:rPr>
      </w:pPr>
      <w:r w:rsidRPr="00503B7C">
        <w:rPr>
          <w:i/>
          <w:sz w:val="24"/>
          <w:szCs w:val="24"/>
          <w:u w:val="single"/>
        </w:rPr>
        <w:t>Гомозиготная семейная гиперхолестеринемия</w:t>
      </w:r>
    </w:p>
    <w:p w:rsidR="00686DBA" w:rsidRPr="00503B7C" w:rsidRDefault="00686DBA" w:rsidP="00503B7C">
      <w:pPr>
        <w:pStyle w:val="a5"/>
        <w:ind w:right="187"/>
        <w:jc w:val="both"/>
        <w:rPr>
          <w:sz w:val="24"/>
          <w:szCs w:val="24"/>
          <w:lang w:val="ru-RU"/>
        </w:rPr>
      </w:pPr>
      <w:r w:rsidRPr="002D558C">
        <w:rPr>
          <w:sz w:val="24"/>
          <w:szCs w:val="24"/>
          <w:lang w:val="ru-RU"/>
        </w:rPr>
        <w:t xml:space="preserve">Для детей </w:t>
      </w:r>
      <w:r w:rsidR="001B68DB" w:rsidRPr="002D558C">
        <w:rPr>
          <w:sz w:val="24"/>
          <w:szCs w:val="24"/>
          <w:lang w:val="ru-RU"/>
        </w:rPr>
        <w:t xml:space="preserve">и подростков </w:t>
      </w:r>
      <w:r w:rsidRPr="002D558C">
        <w:rPr>
          <w:sz w:val="24"/>
          <w:szCs w:val="24"/>
          <w:lang w:val="ru-RU"/>
        </w:rPr>
        <w:t>в возрасте от 6 до 17 лет с гомозиготной семейной гиперхолестеринемией рекомендованная максимальная доза составляет 20</w:t>
      </w:r>
      <w:r w:rsidRPr="00503B7C">
        <w:rPr>
          <w:sz w:val="24"/>
          <w:szCs w:val="24"/>
        </w:rPr>
        <w:t> </w:t>
      </w:r>
      <w:r w:rsidRPr="002D558C">
        <w:rPr>
          <w:sz w:val="24"/>
          <w:szCs w:val="24"/>
          <w:lang w:val="ru-RU"/>
        </w:rPr>
        <w:t xml:space="preserve">мг </w:t>
      </w:r>
      <w:r w:rsidR="001B68DB" w:rsidRPr="002D558C">
        <w:rPr>
          <w:sz w:val="24"/>
          <w:szCs w:val="24"/>
          <w:lang w:val="ru-RU"/>
        </w:rPr>
        <w:t>внутрь</w:t>
      </w:r>
      <w:r w:rsidRPr="002D558C">
        <w:rPr>
          <w:sz w:val="24"/>
          <w:szCs w:val="24"/>
          <w:lang w:val="ru-RU"/>
        </w:rPr>
        <w:t xml:space="preserve"> один раз в день.</w:t>
      </w:r>
    </w:p>
    <w:p w:rsidR="00686DBA" w:rsidRPr="00503B7C" w:rsidRDefault="00686DBA" w:rsidP="00503B7C">
      <w:pPr>
        <w:pStyle w:val="a5"/>
        <w:ind w:right="234"/>
        <w:jc w:val="both"/>
        <w:rPr>
          <w:sz w:val="24"/>
          <w:szCs w:val="24"/>
          <w:lang w:val="ru-RU"/>
        </w:rPr>
      </w:pPr>
      <w:r w:rsidRPr="00503B7C">
        <w:rPr>
          <w:sz w:val="24"/>
          <w:szCs w:val="24"/>
        </w:rPr>
        <w:t>Рекомендованная начальная доза составляет от 5 до 10 мг один раз в день, в зависимости от возраста, массы тела и предшествующего приема статинов</w:t>
      </w:r>
      <w:r w:rsidR="00E61950" w:rsidRPr="00503B7C">
        <w:rPr>
          <w:sz w:val="24"/>
          <w:szCs w:val="24"/>
        </w:rPr>
        <w:t>.</w:t>
      </w:r>
      <w:r w:rsidRPr="00503B7C">
        <w:rPr>
          <w:sz w:val="24"/>
          <w:szCs w:val="24"/>
        </w:rPr>
        <w:t xml:space="preserve"> Титрование до максимальной дозы 20 мг один раз в день следует проводить в </w:t>
      </w:r>
      <w:r w:rsidRPr="00503B7C">
        <w:rPr>
          <w:sz w:val="24"/>
          <w:szCs w:val="24"/>
        </w:rPr>
        <w:lastRenderedPageBreak/>
        <w:t>соответствии с индивидуальным ответом и переносимостью у пациентов детского возраста</w:t>
      </w:r>
      <w:r w:rsidR="004D6B15" w:rsidRPr="00503B7C">
        <w:rPr>
          <w:sz w:val="24"/>
          <w:szCs w:val="24"/>
        </w:rPr>
        <w:t xml:space="preserve">. </w:t>
      </w:r>
      <w:r w:rsidRPr="00503B7C">
        <w:rPr>
          <w:sz w:val="24"/>
          <w:szCs w:val="24"/>
        </w:rPr>
        <w:t>Дети и подростки должны соблюдать стандартную гипохолестеринемическу</w:t>
      </w:r>
      <w:r w:rsidR="004D6B15" w:rsidRPr="00503B7C">
        <w:rPr>
          <w:sz w:val="24"/>
          <w:szCs w:val="24"/>
        </w:rPr>
        <w:t>ю</w:t>
      </w:r>
      <w:r w:rsidRPr="00503B7C">
        <w:rPr>
          <w:sz w:val="24"/>
          <w:szCs w:val="24"/>
        </w:rPr>
        <w:t xml:space="preserve"> диету до начала приема розувастатина</w:t>
      </w:r>
      <w:r w:rsidR="00E61950" w:rsidRPr="00503B7C">
        <w:rPr>
          <w:sz w:val="24"/>
          <w:szCs w:val="24"/>
        </w:rPr>
        <w:t xml:space="preserve"> и</w:t>
      </w:r>
      <w:r w:rsidRPr="00503B7C">
        <w:rPr>
          <w:sz w:val="24"/>
          <w:szCs w:val="24"/>
        </w:rPr>
        <w:t xml:space="preserve"> на протяжении всего лечения розувастатином.</w:t>
      </w:r>
    </w:p>
    <w:p w:rsidR="00686DBA" w:rsidRPr="00503B7C" w:rsidRDefault="00A950BE" w:rsidP="00503B7C">
      <w:pPr>
        <w:ind w:right="232"/>
        <w:jc w:val="both"/>
        <w:rPr>
          <w:sz w:val="24"/>
          <w:szCs w:val="24"/>
        </w:rPr>
      </w:pPr>
      <w:r w:rsidRPr="00503B7C">
        <w:rPr>
          <w:sz w:val="24"/>
          <w:szCs w:val="24"/>
        </w:rPr>
        <w:t>О</w:t>
      </w:r>
      <w:r w:rsidR="00686DBA" w:rsidRPr="00503B7C">
        <w:rPr>
          <w:sz w:val="24"/>
          <w:szCs w:val="24"/>
        </w:rPr>
        <w:t xml:space="preserve">пыт применения </w:t>
      </w:r>
      <w:r w:rsidR="005707E7" w:rsidRPr="00503B7C">
        <w:rPr>
          <w:sz w:val="24"/>
          <w:szCs w:val="24"/>
        </w:rPr>
        <w:t>других доз розувастатина</w:t>
      </w:r>
      <w:r w:rsidR="008C061E">
        <w:rPr>
          <w:sz w:val="24"/>
          <w:szCs w:val="24"/>
        </w:rPr>
        <w:t xml:space="preserve"> </w:t>
      </w:r>
      <w:r w:rsidR="00686DBA" w:rsidRPr="00503B7C">
        <w:rPr>
          <w:sz w:val="24"/>
          <w:szCs w:val="24"/>
        </w:rPr>
        <w:t xml:space="preserve">помимо 20 мг </w:t>
      </w:r>
      <w:r w:rsidR="005707E7" w:rsidRPr="00503B7C">
        <w:rPr>
          <w:sz w:val="24"/>
          <w:szCs w:val="24"/>
        </w:rPr>
        <w:t xml:space="preserve">у </w:t>
      </w:r>
      <w:r w:rsidR="00686DBA" w:rsidRPr="00503B7C">
        <w:rPr>
          <w:sz w:val="24"/>
          <w:szCs w:val="24"/>
        </w:rPr>
        <w:t>данной популяции</w:t>
      </w:r>
      <w:r w:rsidRPr="00503B7C">
        <w:rPr>
          <w:sz w:val="24"/>
          <w:szCs w:val="24"/>
        </w:rPr>
        <w:t xml:space="preserve"> ограничен</w:t>
      </w:r>
      <w:r w:rsidR="00686DBA" w:rsidRPr="00503B7C">
        <w:rPr>
          <w:sz w:val="24"/>
          <w:szCs w:val="24"/>
        </w:rPr>
        <w:t xml:space="preserve">. </w:t>
      </w:r>
    </w:p>
    <w:p w:rsidR="00686DBA" w:rsidRPr="00503B7C" w:rsidRDefault="00686DBA" w:rsidP="00503B7C">
      <w:pPr>
        <w:pStyle w:val="a5"/>
        <w:jc w:val="both"/>
        <w:rPr>
          <w:i/>
          <w:sz w:val="24"/>
          <w:szCs w:val="24"/>
          <w:lang w:val="ru-RU"/>
        </w:rPr>
      </w:pPr>
      <w:r w:rsidRPr="00503B7C">
        <w:rPr>
          <w:i/>
          <w:sz w:val="24"/>
          <w:szCs w:val="24"/>
        </w:rPr>
        <w:t>Дети в возрасте младше 6 лет</w:t>
      </w:r>
    </w:p>
    <w:p w:rsidR="00686DBA" w:rsidRPr="00503B7C" w:rsidRDefault="00686DBA" w:rsidP="00503B7C">
      <w:pPr>
        <w:pStyle w:val="a5"/>
        <w:ind w:right="187"/>
        <w:jc w:val="both"/>
        <w:rPr>
          <w:sz w:val="24"/>
          <w:szCs w:val="24"/>
          <w:lang w:val="ru-RU"/>
        </w:rPr>
      </w:pPr>
      <w:r w:rsidRPr="002D558C">
        <w:rPr>
          <w:sz w:val="24"/>
          <w:szCs w:val="24"/>
          <w:lang w:val="ru-RU"/>
        </w:rPr>
        <w:t>Исследование безопасности и эффективности</w:t>
      </w:r>
      <w:r w:rsidR="005707E7" w:rsidRPr="002D558C">
        <w:rPr>
          <w:sz w:val="24"/>
          <w:szCs w:val="24"/>
          <w:lang w:val="ru-RU"/>
        </w:rPr>
        <w:t xml:space="preserve"> у</w:t>
      </w:r>
      <w:r w:rsidRPr="002D558C">
        <w:rPr>
          <w:sz w:val="24"/>
          <w:szCs w:val="24"/>
          <w:lang w:val="ru-RU"/>
        </w:rPr>
        <w:t xml:space="preserve"> детей в возрасте младше 6 лет не проводилось</w:t>
      </w:r>
      <w:r w:rsidR="005707E7" w:rsidRPr="002D558C">
        <w:rPr>
          <w:sz w:val="24"/>
          <w:szCs w:val="24"/>
          <w:lang w:val="ru-RU"/>
        </w:rPr>
        <w:t>, в связи  с чем</w:t>
      </w:r>
      <w:r w:rsidRPr="002D558C">
        <w:rPr>
          <w:sz w:val="24"/>
          <w:szCs w:val="24"/>
          <w:lang w:val="ru-RU"/>
        </w:rPr>
        <w:t xml:space="preserve"> препарат </w:t>
      </w:r>
      <w:r w:rsidR="00082743" w:rsidRPr="00082743">
        <w:rPr>
          <w:bCs/>
          <w:caps/>
          <w:sz w:val="24"/>
          <w:szCs w:val="24"/>
          <w:lang w:val="ru-RU"/>
        </w:rPr>
        <w:t>[</w:t>
      </w:r>
      <w:r w:rsidR="00082743" w:rsidRPr="00082743">
        <w:rPr>
          <w:bCs/>
          <w:caps/>
          <w:sz w:val="24"/>
          <w:szCs w:val="24"/>
          <w:highlight w:val="lightGray"/>
          <w:lang w:val="ru-RU"/>
        </w:rPr>
        <w:t>ТОРГОВОЕ НАЗВАНИЕ</w:t>
      </w:r>
      <w:r w:rsidR="00082743" w:rsidRPr="00082743">
        <w:rPr>
          <w:bCs/>
          <w:caps/>
          <w:sz w:val="24"/>
          <w:szCs w:val="24"/>
          <w:lang w:val="ru-RU"/>
        </w:rPr>
        <w:t>]</w:t>
      </w:r>
      <w:r w:rsidRPr="002D558C">
        <w:rPr>
          <w:sz w:val="24"/>
          <w:szCs w:val="24"/>
          <w:lang w:val="ru-RU"/>
        </w:rPr>
        <w:t xml:space="preserve"> не рекомендован для приема </w:t>
      </w:r>
      <w:r w:rsidR="005707E7" w:rsidRPr="002D558C">
        <w:rPr>
          <w:sz w:val="24"/>
          <w:szCs w:val="24"/>
          <w:lang w:val="ru-RU"/>
        </w:rPr>
        <w:t xml:space="preserve">у </w:t>
      </w:r>
      <w:r w:rsidRPr="002D558C">
        <w:rPr>
          <w:sz w:val="24"/>
          <w:szCs w:val="24"/>
          <w:lang w:val="ru-RU"/>
        </w:rPr>
        <w:t>дет</w:t>
      </w:r>
      <w:r w:rsidR="005707E7" w:rsidRPr="002D558C">
        <w:rPr>
          <w:sz w:val="24"/>
          <w:szCs w:val="24"/>
          <w:lang w:val="ru-RU"/>
        </w:rPr>
        <w:t xml:space="preserve">ей </w:t>
      </w:r>
      <w:r w:rsidRPr="002D558C">
        <w:rPr>
          <w:sz w:val="24"/>
          <w:szCs w:val="24"/>
          <w:lang w:val="ru-RU"/>
        </w:rPr>
        <w:t>младше 6 лет.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Пожилые  пациенты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Не требуется коррекции дозы. Пациентам старше 70 лет рекомендуется начальная доза препарата 5 мг.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Пациенты с почечной недостаточностью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У пациентов с почечной недостаточностью легкой или средней степени тяжести коррекция дозы не требуется, рекомендуемая начальная доза препарата 5 мг. У пациентов с умеренными нарушениями функции почек (клиренс креатинина менее 60 мл/мин) - применение препарата в дозировке 40 мг</w:t>
      </w:r>
      <w:r w:rsidR="005768B5" w:rsidRPr="00503B7C">
        <w:rPr>
          <w:rFonts w:ascii="Times New Roman" w:hAnsi="Times New Roman" w:cs="Times New Roman"/>
          <w:sz w:val="24"/>
          <w:szCs w:val="24"/>
        </w:rPr>
        <w:t xml:space="preserve"> противопоказано</w:t>
      </w:r>
      <w:r w:rsidRPr="00503B7C">
        <w:rPr>
          <w:rFonts w:ascii="Times New Roman" w:hAnsi="Times New Roman" w:cs="Times New Roman"/>
          <w:sz w:val="24"/>
          <w:szCs w:val="24"/>
        </w:rPr>
        <w:t xml:space="preserve">. У пациентов с выраженной почечной недостаточностью (клиренс креатинина менее 30 мл/мин) - применение препарата 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A10E19" w:rsidRPr="00503B7C">
        <w:rPr>
          <w:rFonts w:ascii="Times New Roman" w:hAnsi="Times New Roman" w:cs="Times New Roman"/>
          <w:sz w:val="24"/>
          <w:szCs w:val="24"/>
        </w:rPr>
        <w:t xml:space="preserve"> противопоказано</w:t>
      </w:r>
      <w:r w:rsidRPr="00503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 xml:space="preserve">Пациенты с печеночной недостаточностью  </w:t>
      </w:r>
    </w:p>
    <w:p w:rsidR="00D672FC" w:rsidRPr="00503B7C" w:rsidRDefault="00A8378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Не наблюдалось системного воздействия розувастатина у субъектов с  баллами</w:t>
      </w:r>
      <w:r w:rsidR="00027C8D" w:rsidRPr="00503B7C">
        <w:rPr>
          <w:rFonts w:ascii="Times New Roman" w:hAnsi="Times New Roman" w:cs="Times New Roman"/>
          <w:sz w:val="24"/>
          <w:szCs w:val="24"/>
        </w:rPr>
        <w:t xml:space="preserve"> 7 и выше 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по шкале Чайлд-Пь</w:t>
      </w:r>
      <w:r w:rsidR="00027C8D" w:rsidRPr="00503B7C">
        <w:rPr>
          <w:rFonts w:ascii="Times New Roman" w:hAnsi="Times New Roman" w:cs="Times New Roman"/>
          <w:sz w:val="24"/>
          <w:szCs w:val="24"/>
        </w:rPr>
        <w:t>ю</w:t>
      </w:r>
      <w:r w:rsidRPr="00503B7C">
        <w:rPr>
          <w:rFonts w:ascii="Times New Roman" w:hAnsi="Times New Roman" w:cs="Times New Roman"/>
          <w:sz w:val="24"/>
          <w:szCs w:val="24"/>
        </w:rPr>
        <w:t xml:space="preserve">. Однако наблюдалось повышенное системное воздействие у субъектов с </w:t>
      </w:r>
      <w:r w:rsidR="00027C8D" w:rsidRPr="00503B7C">
        <w:rPr>
          <w:rFonts w:ascii="Times New Roman" w:hAnsi="Times New Roman" w:cs="Times New Roman"/>
          <w:sz w:val="24"/>
          <w:szCs w:val="24"/>
        </w:rPr>
        <w:t xml:space="preserve">баллами </w:t>
      </w:r>
      <w:r w:rsidRPr="00503B7C">
        <w:rPr>
          <w:rFonts w:ascii="Times New Roman" w:hAnsi="Times New Roman" w:cs="Times New Roman"/>
          <w:sz w:val="24"/>
          <w:szCs w:val="24"/>
        </w:rPr>
        <w:t xml:space="preserve">8 и 9 по шкале Чайлд-Пью. Для этой группы пациентов должна проводиться оценка функции почек. </w:t>
      </w:r>
      <w:r w:rsidR="00027C8D" w:rsidRPr="00503B7C">
        <w:rPr>
          <w:rFonts w:ascii="Times New Roman" w:hAnsi="Times New Roman" w:cs="Times New Roman"/>
          <w:sz w:val="24"/>
          <w:szCs w:val="24"/>
        </w:rPr>
        <w:t xml:space="preserve">Опыт применения препарата у пациентов с баллом выше 9 по шкале Чайлд-Пью отсутствует.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противопоказан пациентам с заболеванием печени в активной стадии.</w:t>
      </w:r>
    </w:p>
    <w:p w:rsidR="00D672FC" w:rsidRPr="00503B7C" w:rsidRDefault="00D672FC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Особые популяции. Этнические группы</w:t>
      </w:r>
    </w:p>
    <w:p w:rsidR="00D672FC" w:rsidRPr="00503B7C" w:rsidRDefault="00AC4C3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Повышенное системное воздействие наблюдалось у пациентов азиатского происхождения.</w:t>
      </w:r>
      <w:r w:rsidR="008C061E">
        <w:rPr>
          <w:rFonts w:ascii="Times New Roman" w:hAnsi="Times New Roman" w:cs="Times New Roman"/>
          <w:sz w:val="24"/>
          <w:szCs w:val="24"/>
        </w:rPr>
        <w:t xml:space="preserve"> </w:t>
      </w:r>
      <w:r w:rsidR="00D672FC" w:rsidRPr="00503B7C">
        <w:rPr>
          <w:rFonts w:ascii="Times New Roman" w:hAnsi="Times New Roman" w:cs="Times New Roman"/>
          <w:sz w:val="24"/>
          <w:szCs w:val="24"/>
        </w:rPr>
        <w:t xml:space="preserve">При изучении фармакокинетических параметров </w:t>
      </w:r>
      <w:r w:rsidR="00D47DC1" w:rsidRPr="00503B7C">
        <w:rPr>
          <w:rFonts w:ascii="Times New Roman" w:hAnsi="Times New Roman" w:cs="Times New Roman"/>
          <w:sz w:val="24"/>
          <w:szCs w:val="24"/>
        </w:rPr>
        <w:t xml:space="preserve">препарата </w:t>
      </w:r>
      <w:r w:rsidR="00D9224A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D9224A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D9224A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8C061E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="00D672FC" w:rsidRPr="00503B7C">
        <w:rPr>
          <w:rFonts w:ascii="Times New Roman" w:hAnsi="Times New Roman" w:cs="Times New Roman"/>
          <w:sz w:val="24"/>
          <w:szCs w:val="24"/>
        </w:rPr>
        <w:t xml:space="preserve">у пациентов, принадлежащих к разным этническим группам, отмечено увеличение системной концентрации розувастатина у японцев и китайцев. Следует учитывать данный факт при назначении розувастатина данным группам пациентов. Рекомендуемая начальная доза для пациентов азиатской расы составляет 5 мг. </w:t>
      </w:r>
      <w:r w:rsidR="00E75F15" w:rsidRPr="00503B7C">
        <w:rPr>
          <w:rFonts w:ascii="Times New Roman" w:hAnsi="Times New Roman" w:cs="Times New Roman"/>
          <w:sz w:val="24"/>
          <w:szCs w:val="24"/>
        </w:rPr>
        <w:t>Доза 40 мг противопоказана этой группе пациентов.</w:t>
      </w:r>
    </w:p>
    <w:p w:rsidR="00AC4C30" w:rsidRPr="00503B7C" w:rsidRDefault="00AC4C30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Генетические полиморфизмы</w:t>
      </w:r>
    </w:p>
    <w:p w:rsidR="00D672FC" w:rsidRPr="00503B7C" w:rsidRDefault="005235B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Наличие у пациентов генотипов</w:t>
      </w:r>
      <w:r w:rsidR="00D672FC" w:rsidRPr="00503B7C">
        <w:rPr>
          <w:rFonts w:ascii="Times New Roman" w:hAnsi="Times New Roman" w:cs="Times New Roman"/>
          <w:sz w:val="24"/>
          <w:szCs w:val="24"/>
        </w:rPr>
        <w:t xml:space="preserve"> SLCO1B1 (OATP1B1) c.521CC и ABCG2 c.421AA </w:t>
      </w:r>
      <w:r w:rsidRPr="00503B7C">
        <w:rPr>
          <w:rFonts w:ascii="Times New Roman" w:hAnsi="Times New Roman" w:cs="Times New Roman"/>
          <w:sz w:val="24"/>
          <w:szCs w:val="24"/>
        </w:rPr>
        <w:t xml:space="preserve">связано </w:t>
      </w:r>
      <w:r w:rsidR="00D672FC" w:rsidRPr="00503B7C">
        <w:rPr>
          <w:rFonts w:ascii="Times New Roman" w:hAnsi="Times New Roman" w:cs="Times New Roman"/>
          <w:sz w:val="24"/>
          <w:szCs w:val="24"/>
        </w:rPr>
        <w:t xml:space="preserve">с увеличением влияния розувастатина (СКМ) по сравнению с SLCO1B1 c.521TT и ABCG2 c.421CC. Пациентам с генотипами c.521CC или c.421AA рекомендуется принимать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</w:t>
      </w:r>
      <w:r w:rsidR="00164D44" w:rsidRPr="00503B7C">
        <w:rPr>
          <w:rFonts w:ascii="Times New Roman" w:hAnsi="Times New Roman" w:cs="Times New Roman"/>
          <w:sz w:val="24"/>
          <w:szCs w:val="24"/>
        </w:rPr>
        <w:t xml:space="preserve">минимальной </w:t>
      </w:r>
      <w:r w:rsidR="00CA34C1" w:rsidRPr="00503B7C">
        <w:rPr>
          <w:rFonts w:ascii="Times New Roman" w:hAnsi="Times New Roman" w:cs="Times New Roman"/>
          <w:sz w:val="24"/>
          <w:szCs w:val="24"/>
        </w:rPr>
        <w:t>ежедневн</w:t>
      </w:r>
      <w:r w:rsidRPr="00503B7C">
        <w:rPr>
          <w:rFonts w:ascii="Times New Roman" w:hAnsi="Times New Roman" w:cs="Times New Roman"/>
          <w:sz w:val="24"/>
          <w:szCs w:val="24"/>
        </w:rPr>
        <w:t>ой</w:t>
      </w:r>
      <w:r w:rsidR="00CA34C1" w:rsidRPr="00503B7C">
        <w:rPr>
          <w:rFonts w:ascii="Times New Roman" w:hAnsi="Times New Roman" w:cs="Times New Roman"/>
          <w:sz w:val="24"/>
          <w:szCs w:val="24"/>
        </w:rPr>
        <w:t xml:space="preserve"> доз</w:t>
      </w:r>
      <w:r w:rsidRPr="00503B7C">
        <w:rPr>
          <w:rFonts w:ascii="Times New Roman" w:hAnsi="Times New Roman" w:cs="Times New Roman"/>
          <w:sz w:val="24"/>
          <w:szCs w:val="24"/>
        </w:rPr>
        <w:t>е</w:t>
      </w:r>
      <w:r w:rsidR="00CA34C1" w:rsidRPr="00503B7C">
        <w:rPr>
          <w:rFonts w:ascii="Times New Roman" w:hAnsi="Times New Roman" w:cs="Times New Roman"/>
          <w:sz w:val="24"/>
          <w:szCs w:val="24"/>
        </w:rPr>
        <w:t xml:space="preserve"> 1 </w:t>
      </w:r>
      <w:r w:rsidR="00D672FC" w:rsidRPr="00503B7C">
        <w:rPr>
          <w:rFonts w:ascii="Times New Roman" w:hAnsi="Times New Roman" w:cs="Times New Roman"/>
          <w:sz w:val="24"/>
          <w:szCs w:val="24"/>
        </w:rPr>
        <w:t>раз в день.</w:t>
      </w:r>
    </w:p>
    <w:p w:rsidR="004C619A" w:rsidRPr="00503B7C" w:rsidRDefault="004C619A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Пациенты, предрасположенные к миопатии</w:t>
      </w:r>
    </w:p>
    <w:p w:rsidR="004C619A" w:rsidRPr="00503B7C" w:rsidRDefault="004C619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Противопоказано назначение препарата в дозе 40 мг пациентам с факторами </w:t>
      </w:r>
      <w:r w:rsidR="005235B5" w:rsidRPr="00503B7C">
        <w:rPr>
          <w:rFonts w:ascii="Times New Roman" w:hAnsi="Times New Roman" w:cs="Times New Roman"/>
          <w:sz w:val="24"/>
          <w:szCs w:val="24"/>
        </w:rPr>
        <w:t xml:space="preserve">предрасположенности </w:t>
      </w:r>
      <w:r w:rsidRPr="00503B7C">
        <w:rPr>
          <w:rFonts w:ascii="Times New Roman" w:hAnsi="Times New Roman" w:cs="Times New Roman"/>
          <w:sz w:val="24"/>
          <w:szCs w:val="24"/>
        </w:rPr>
        <w:t>к развитию миопатии. Рекомендуемая начальная доза для данной группы пациентов составляет 5 мг.</w:t>
      </w:r>
    </w:p>
    <w:p w:rsidR="004C619A" w:rsidRPr="00503B7C" w:rsidRDefault="004C619A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Сопутствующее лечение</w:t>
      </w:r>
    </w:p>
    <w:p w:rsidR="004C619A" w:rsidRPr="00503B7C" w:rsidRDefault="004C619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 представляет собой субстрат различных белков транспортеров (например, OATP1B1 и BCRP). Риск развития миопатии (включая рабдомиолиз) повышается при приеме препарата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8C061E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совместно с лекарственными препаратами, которые могут повысить содержание розувастатина в плазме крови вследствие взаимодействия с белками транспортеров (в т. ч. циклоспорин и ингибиторы протеазы, включая комбинации ритонавира и атазанавира, лопинавира </w:t>
      </w:r>
      <w:r w:rsidRPr="00503B7C">
        <w:rPr>
          <w:rFonts w:ascii="Times New Roman" w:hAnsi="Times New Roman" w:cs="Times New Roman"/>
          <w:sz w:val="24"/>
          <w:szCs w:val="24"/>
        </w:rPr>
        <w:lastRenderedPageBreak/>
        <w:t>и/или типанавира). По возможности</w:t>
      </w:r>
      <w:r w:rsidR="008C661A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следует рассмотреть </w:t>
      </w:r>
      <w:r w:rsidR="008C661A" w:rsidRPr="00503B7C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503B7C">
        <w:rPr>
          <w:rFonts w:ascii="Times New Roman" w:hAnsi="Times New Roman" w:cs="Times New Roman"/>
          <w:sz w:val="24"/>
          <w:szCs w:val="24"/>
        </w:rPr>
        <w:t>альтернативны</w:t>
      </w:r>
      <w:r w:rsidR="008C661A" w:rsidRPr="00503B7C">
        <w:rPr>
          <w:rFonts w:ascii="Times New Roman" w:hAnsi="Times New Roman" w:cs="Times New Roman"/>
          <w:sz w:val="24"/>
          <w:szCs w:val="24"/>
        </w:rPr>
        <w:t>х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8C661A" w:rsidRPr="00503B7C">
        <w:rPr>
          <w:rFonts w:ascii="Times New Roman" w:hAnsi="Times New Roman" w:cs="Times New Roman"/>
          <w:sz w:val="24"/>
          <w:szCs w:val="24"/>
        </w:rPr>
        <w:t>ов</w:t>
      </w:r>
      <w:r w:rsidR="008C061E">
        <w:rPr>
          <w:rFonts w:ascii="Times New Roman" w:hAnsi="Times New Roman" w:cs="Times New Roman"/>
          <w:sz w:val="24"/>
          <w:szCs w:val="24"/>
        </w:rPr>
        <w:t xml:space="preserve"> </w:t>
      </w:r>
      <w:r w:rsidR="008C661A" w:rsidRPr="00503B7C">
        <w:rPr>
          <w:rFonts w:ascii="Times New Roman" w:hAnsi="Times New Roman" w:cs="Times New Roman"/>
          <w:sz w:val="24"/>
          <w:szCs w:val="24"/>
        </w:rPr>
        <w:t xml:space="preserve">или </w:t>
      </w:r>
      <w:r w:rsidRPr="00503B7C">
        <w:rPr>
          <w:rFonts w:ascii="Times New Roman" w:hAnsi="Times New Roman" w:cs="Times New Roman"/>
          <w:sz w:val="24"/>
          <w:szCs w:val="24"/>
        </w:rPr>
        <w:t xml:space="preserve">возможность временного прекращения терапии </w:t>
      </w:r>
      <w:r w:rsidR="008C661A" w:rsidRPr="00503B7C">
        <w:rPr>
          <w:rFonts w:ascii="Times New Roman" w:hAnsi="Times New Roman" w:cs="Times New Roman"/>
          <w:sz w:val="24"/>
          <w:szCs w:val="24"/>
        </w:rPr>
        <w:t xml:space="preserve">препаратом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. В </w:t>
      </w:r>
      <w:r w:rsidR="008C661A" w:rsidRPr="00503B7C">
        <w:rPr>
          <w:rFonts w:ascii="Times New Roman" w:hAnsi="Times New Roman" w:cs="Times New Roman"/>
          <w:sz w:val="24"/>
          <w:szCs w:val="24"/>
        </w:rPr>
        <w:t>случаях</w:t>
      </w:r>
      <w:r w:rsidRPr="00503B7C">
        <w:rPr>
          <w:rFonts w:ascii="Times New Roman" w:hAnsi="Times New Roman" w:cs="Times New Roman"/>
          <w:sz w:val="24"/>
          <w:szCs w:val="24"/>
        </w:rPr>
        <w:t xml:space="preserve">, когда совместный прием этих лекарственных препаратов с </w:t>
      </w:r>
      <w:r w:rsidR="008C661A" w:rsidRPr="00503B7C">
        <w:rPr>
          <w:rFonts w:ascii="Times New Roman" w:hAnsi="Times New Roman" w:cs="Times New Roman"/>
          <w:sz w:val="24"/>
          <w:szCs w:val="24"/>
        </w:rPr>
        <w:t>препаратом</w:t>
      </w:r>
      <w:r w:rsidR="008C061E">
        <w:rPr>
          <w:rFonts w:ascii="Times New Roman" w:hAnsi="Times New Roman" w:cs="Times New Roman"/>
          <w:sz w:val="24"/>
          <w:szCs w:val="24"/>
        </w:rPr>
        <w:t xml:space="preserve">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8C061E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неизбежен, необходимо внимательно </w:t>
      </w:r>
      <w:r w:rsidR="008C661A" w:rsidRPr="00503B7C">
        <w:rPr>
          <w:rFonts w:ascii="Times New Roman" w:hAnsi="Times New Roman" w:cs="Times New Roman"/>
          <w:sz w:val="24"/>
          <w:szCs w:val="24"/>
        </w:rPr>
        <w:t>оценить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пользу и риск</w:t>
      </w:r>
      <w:r w:rsidR="008C661A" w:rsidRPr="00503B7C">
        <w:rPr>
          <w:rFonts w:ascii="Times New Roman" w:hAnsi="Times New Roman" w:cs="Times New Roman"/>
          <w:sz w:val="24"/>
          <w:szCs w:val="24"/>
        </w:rPr>
        <w:t xml:space="preserve"> такого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совместного лечения и также корректировку дозировок.</w:t>
      </w:r>
    </w:p>
    <w:bookmarkEnd w:id="6"/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Способ применения</w:t>
      </w:r>
    </w:p>
    <w:p w:rsidR="001B2AD4" w:rsidRPr="00503B7C" w:rsidRDefault="001B2AD4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Внутрь, не разжевывать и не измельчать таблетку, проглатывать целиком, запивая водой. Может назначаться независимо от приема пищи.</w:t>
      </w:r>
    </w:p>
    <w:p w:rsidR="00FC0198" w:rsidRPr="00503B7C" w:rsidRDefault="00FC019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7" w:name="Par2260"/>
      <w:bookmarkEnd w:id="7"/>
      <w:r w:rsidRPr="00503B7C">
        <w:rPr>
          <w:rFonts w:ascii="Times New Roman" w:hAnsi="Times New Roman" w:cs="Times New Roman"/>
          <w:b/>
          <w:sz w:val="24"/>
          <w:szCs w:val="24"/>
        </w:rPr>
        <w:t>4.3. Противопоказания</w:t>
      </w:r>
    </w:p>
    <w:p w:rsidR="00C012C9" w:rsidRPr="00224416" w:rsidRDefault="00F111FD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111FD">
        <w:rPr>
          <w:rFonts w:ascii="Times New Roman" w:hAnsi="Times New Roman" w:cs="Times New Roman"/>
          <w:sz w:val="24"/>
          <w:szCs w:val="24"/>
        </w:rPr>
        <w:t xml:space="preserve">гиперчувствительность к действующему веществу или к любому из вспомогательных </w:t>
      </w:r>
      <w:r w:rsidRPr="00224416">
        <w:rPr>
          <w:rFonts w:ascii="Times New Roman" w:hAnsi="Times New Roman" w:cs="Times New Roman"/>
          <w:sz w:val="24"/>
          <w:szCs w:val="24"/>
        </w:rPr>
        <w:t>веществ, перечисленных в разделе 6.1</w:t>
      </w:r>
    </w:p>
    <w:p w:rsidR="00C012C9" w:rsidRPr="00224416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заболевания печени в активной фазе, включая стойкое повышение  сывороточной </w:t>
      </w:r>
      <w:r w:rsidR="00224416">
        <w:rPr>
          <w:rFonts w:ascii="Times New Roman" w:hAnsi="Times New Roman" w:cs="Times New Roman"/>
          <w:sz w:val="24"/>
          <w:szCs w:val="24"/>
        </w:rPr>
        <w:t xml:space="preserve"> </w:t>
      </w:r>
      <w:r w:rsidRPr="00224416">
        <w:rPr>
          <w:rFonts w:ascii="Times New Roman" w:hAnsi="Times New Roman" w:cs="Times New Roman"/>
          <w:sz w:val="24"/>
          <w:szCs w:val="24"/>
        </w:rPr>
        <w:t xml:space="preserve">активности трансаминаз и любое повышение активности трансаминаз в сыворотке </w:t>
      </w:r>
      <w:r w:rsidR="00224416">
        <w:rPr>
          <w:rFonts w:ascii="Times New Roman" w:hAnsi="Times New Roman" w:cs="Times New Roman"/>
          <w:sz w:val="24"/>
          <w:szCs w:val="24"/>
        </w:rPr>
        <w:t xml:space="preserve"> </w:t>
      </w:r>
      <w:r w:rsidRPr="00224416">
        <w:rPr>
          <w:rFonts w:ascii="Times New Roman" w:hAnsi="Times New Roman" w:cs="Times New Roman"/>
          <w:sz w:val="24"/>
          <w:szCs w:val="24"/>
        </w:rPr>
        <w:t>крови (более чем в 3 раза по сравнению с верхней границей нормы)</w:t>
      </w:r>
    </w:p>
    <w:p w:rsidR="00C012C9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выраженные нарушения функции почек (клиренс креатинина менее 30   мл/мин) </w:t>
      </w:r>
    </w:p>
    <w:p w:rsidR="00C012C9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миопатии</w:t>
      </w:r>
    </w:p>
    <w:p w:rsidR="004142C9" w:rsidRPr="00503B7C" w:rsidRDefault="00414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одновременный прием софосбувира/велпатасвира/воксилапревира</w:t>
      </w:r>
    </w:p>
    <w:p w:rsidR="00C012C9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одновременный приём циклоспорина</w:t>
      </w:r>
    </w:p>
    <w:p w:rsidR="00364858" w:rsidRDefault="00F111FD" w:rsidP="00364858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111FD">
        <w:rPr>
          <w:rFonts w:ascii="Times New Roman" w:hAnsi="Times New Roman" w:cs="Times New Roman"/>
          <w:sz w:val="24"/>
          <w:szCs w:val="24"/>
        </w:rPr>
        <w:t>период беременности и кормления грудью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1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503B7C">
        <w:rPr>
          <w:rFonts w:ascii="Times New Roman" w:hAnsi="Times New Roman" w:cs="Times New Roman"/>
          <w:sz w:val="24"/>
          <w:szCs w:val="24"/>
        </w:rPr>
        <w:t>отсутстви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3B7C">
        <w:rPr>
          <w:rFonts w:ascii="Times New Roman" w:hAnsi="Times New Roman" w:cs="Times New Roman"/>
          <w:sz w:val="24"/>
          <w:szCs w:val="24"/>
        </w:rPr>
        <w:t xml:space="preserve"> адекватных методов </w:t>
      </w:r>
      <w:r w:rsidRPr="00224416">
        <w:rPr>
          <w:rFonts w:ascii="Times New Roman" w:hAnsi="Times New Roman" w:cs="Times New Roman"/>
          <w:sz w:val="24"/>
          <w:szCs w:val="24"/>
        </w:rPr>
        <w:t>контрацепции</w:t>
      </w:r>
    </w:p>
    <w:p w:rsidR="00364858" w:rsidRPr="00364858" w:rsidRDefault="00364858" w:rsidP="00364858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64858">
        <w:rPr>
          <w:rFonts w:ascii="Times New Roman" w:hAnsi="Times New Roman" w:cs="Times New Roman"/>
          <w:sz w:val="24"/>
          <w:szCs w:val="24"/>
        </w:rPr>
        <w:t>лица с наследственной непереносимостью галактозы, дефицитом фермента Lapp (ЛАПП)-лактазы, мальабсорбцией глюкозы-галактозы</w:t>
      </w:r>
    </w:p>
    <w:p w:rsidR="00224416" w:rsidRDefault="00224416" w:rsidP="00224416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1C7C0A" w:rsidRPr="00503B7C" w:rsidRDefault="002917CC" w:rsidP="00224416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Д</w:t>
      </w:r>
      <w:r w:rsidR="00C012C9" w:rsidRPr="00503B7C">
        <w:rPr>
          <w:rFonts w:ascii="Times New Roman" w:hAnsi="Times New Roman" w:cs="Times New Roman"/>
          <w:i/>
          <w:sz w:val="24"/>
          <w:szCs w:val="24"/>
        </w:rPr>
        <w:t>оз</w:t>
      </w:r>
      <w:r w:rsidRPr="00503B7C">
        <w:rPr>
          <w:rFonts w:ascii="Times New Roman" w:hAnsi="Times New Roman" w:cs="Times New Roman"/>
          <w:i/>
          <w:sz w:val="24"/>
          <w:szCs w:val="24"/>
        </w:rPr>
        <w:t>а</w:t>
      </w:r>
      <w:r w:rsidR="00C012C9" w:rsidRPr="00503B7C">
        <w:rPr>
          <w:rFonts w:ascii="Times New Roman" w:hAnsi="Times New Roman" w:cs="Times New Roman"/>
          <w:i/>
          <w:sz w:val="24"/>
          <w:szCs w:val="24"/>
        </w:rPr>
        <w:t xml:space="preserve"> 40 мг</w:t>
      </w:r>
      <w:r w:rsidR="00BD11F4" w:rsidRPr="00503B7C">
        <w:rPr>
          <w:rFonts w:ascii="Times New Roman" w:hAnsi="Times New Roman" w:cs="Times New Roman"/>
          <w:i/>
          <w:sz w:val="24"/>
          <w:szCs w:val="24"/>
        </w:rPr>
        <w:t>:</w:t>
      </w:r>
      <w:r w:rsidRPr="00503B7C">
        <w:rPr>
          <w:rFonts w:ascii="Times New Roman" w:hAnsi="Times New Roman" w:cs="Times New Roman"/>
          <w:i/>
          <w:sz w:val="24"/>
          <w:szCs w:val="24"/>
        </w:rPr>
        <w:t xml:space="preserve"> противопоказана  лицам с наличием факторов </w:t>
      </w:r>
      <w:r w:rsidR="001C7C0A" w:rsidRPr="00503B7C">
        <w:rPr>
          <w:rFonts w:ascii="Times New Roman" w:hAnsi="Times New Roman" w:cs="Times New Roman"/>
          <w:i/>
          <w:sz w:val="24"/>
          <w:szCs w:val="24"/>
        </w:rPr>
        <w:t>предрасположенност</w:t>
      </w:r>
      <w:r w:rsidRPr="00503B7C">
        <w:rPr>
          <w:rFonts w:ascii="Times New Roman" w:hAnsi="Times New Roman" w:cs="Times New Roman"/>
          <w:i/>
          <w:sz w:val="24"/>
          <w:szCs w:val="24"/>
        </w:rPr>
        <w:t>и</w:t>
      </w:r>
      <w:r w:rsidR="001C7C0A" w:rsidRPr="00503B7C">
        <w:rPr>
          <w:rFonts w:ascii="Times New Roman" w:hAnsi="Times New Roman" w:cs="Times New Roman"/>
          <w:i/>
          <w:sz w:val="24"/>
          <w:szCs w:val="24"/>
        </w:rPr>
        <w:t xml:space="preserve"> к развитию мио</w:t>
      </w:r>
      <w:r w:rsidR="004C00CC" w:rsidRPr="00503B7C">
        <w:rPr>
          <w:rFonts w:ascii="Times New Roman" w:hAnsi="Times New Roman" w:cs="Times New Roman"/>
          <w:i/>
          <w:sz w:val="24"/>
          <w:szCs w:val="24"/>
        </w:rPr>
        <w:t>патии и рабдоми</w:t>
      </w:r>
      <w:r w:rsidR="001C7C0A" w:rsidRPr="00503B7C">
        <w:rPr>
          <w:rFonts w:ascii="Times New Roman" w:hAnsi="Times New Roman" w:cs="Times New Roman"/>
          <w:i/>
          <w:sz w:val="24"/>
          <w:szCs w:val="24"/>
        </w:rPr>
        <w:t>олизу</w:t>
      </w:r>
      <w:r w:rsidRPr="00503B7C">
        <w:rPr>
          <w:rFonts w:ascii="Times New Roman" w:hAnsi="Times New Roman" w:cs="Times New Roman"/>
          <w:i/>
          <w:sz w:val="24"/>
          <w:szCs w:val="24"/>
        </w:rPr>
        <w:t>, такие как</w:t>
      </w:r>
    </w:p>
    <w:p w:rsidR="00F111FD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почечная недостаточность средней степени тяжести (клиренс креатинина  менее 60 </w:t>
      </w:r>
    </w:p>
    <w:p w:rsidR="00C012C9" w:rsidRPr="00503B7C" w:rsidRDefault="00C012C9" w:rsidP="00224416">
      <w:pPr>
        <w:pStyle w:val="ConsPlusNormal"/>
        <w:ind w:left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мл/мин)</w:t>
      </w:r>
    </w:p>
    <w:p w:rsidR="00F111FD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гипотиреоз</w:t>
      </w:r>
    </w:p>
    <w:p w:rsidR="00764053" w:rsidRPr="00224416" w:rsidRDefault="00764053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мышечные заболевания в анамнезе, </w:t>
      </w:r>
      <w:r w:rsidR="007B370B" w:rsidRPr="00503B7C">
        <w:rPr>
          <w:rFonts w:ascii="Times New Roman" w:hAnsi="Times New Roman" w:cs="Times New Roman"/>
          <w:sz w:val="24"/>
          <w:szCs w:val="24"/>
        </w:rPr>
        <w:t xml:space="preserve">индивидуальная или </w:t>
      </w:r>
      <w:r w:rsidRPr="00503B7C">
        <w:rPr>
          <w:rFonts w:ascii="Times New Roman" w:hAnsi="Times New Roman" w:cs="Times New Roman"/>
          <w:sz w:val="24"/>
          <w:szCs w:val="24"/>
        </w:rPr>
        <w:t xml:space="preserve">генетическая </w:t>
      </w:r>
      <w:r w:rsidRPr="00224416">
        <w:rPr>
          <w:rFonts w:ascii="Times New Roman" w:hAnsi="Times New Roman" w:cs="Times New Roman"/>
          <w:sz w:val="24"/>
          <w:szCs w:val="24"/>
        </w:rPr>
        <w:t>предрасположенность к врожденным мышечным расстройствам</w:t>
      </w:r>
    </w:p>
    <w:p w:rsidR="00DD7047" w:rsidRPr="00224416" w:rsidRDefault="00764053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миотоксичность на фоне приема других ингибиторов </w:t>
      </w:r>
      <w:bookmarkStart w:id="8" w:name="_Hlk33005355"/>
      <w:r w:rsidRPr="00503B7C">
        <w:rPr>
          <w:rFonts w:ascii="Times New Roman" w:hAnsi="Times New Roman" w:cs="Times New Roman"/>
          <w:sz w:val="24"/>
          <w:szCs w:val="24"/>
        </w:rPr>
        <w:t>ГМГ–КоА – редуктазы</w:t>
      </w:r>
      <w:bookmarkEnd w:id="8"/>
      <w:r w:rsidR="00F111FD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или </w:t>
      </w:r>
      <w:r w:rsidR="00224416">
        <w:rPr>
          <w:rFonts w:ascii="Times New Roman" w:hAnsi="Times New Roman" w:cs="Times New Roman"/>
          <w:sz w:val="24"/>
          <w:szCs w:val="24"/>
        </w:rPr>
        <w:t xml:space="preserve"> </w:t>
      </w:r>
      <w:r w:rsidRPr="00224416">
        <w:rPr>
          <w:rFonts w:ascii="Times New Roman" w:hAnsi="Times New Roman" w:cs="Times New Roman"/>
          <w:sz w:val="24"/>
          <w:szCs w:val="24"/>
        </w:rPr>
        <w:t xml:space="preserve">фибратов в анамнезе </w:t>
      </w:r>
    </w:p>
    <w:p w:rsidR="00C012C9" w:rsidRPr="00224416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состояния, которые могут приводить к повышению плазменной концентрации </w:t>
      </w:r>
      <w:r w:rsidRPr="00224416">
        <w:rPr>
          <w:rFonts w:ascii="Times New Roman" w:hAnsi="Times New Roman" w:cs="Times New Roman"/>
          <w:sz w:val="24"/>
          <w:szCs w:val="24"/>
        </w:rPr>
        <w:t>розувастатина</w:t>
      </w:r>
    </w:p>
    <w:p w:rsidR="00C012C9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одновременный приём фибратов</w:t>
      </w:r>
    </w:p>
    <w:p w:rsidR="00C012C9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пациенты азиатской расы</w:t>
      </w:r>
    </w:p>
    <w:p w:rsidR="00E21047" w:rsidRPr="00503B7C" w:rsidRDefault="00C012C9" w:rsidP="00224416">
      <w:pPr>
        <w:pStyle w:val="ConsPlusNormal"/>
        <w:numPr>
          <w:ilvl w:val="0"/>
          <w:numId w:val="9"/>
        </w:numPr>
        <w:ind w:left="284" w:hanging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злоупотребление алкоголем</w:t>
      </w:r>
    </w:p>
    <w:p w:rsidR="00C012C9" w:rsidRPr="00503B7C" w:rsidRDefault="00C012C9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42867">
        <w:rPr>
          <w:rFonts w:ascii="Times New Roman" w:hAnsi="Times New Roman" w:cs="Times New Roman"/>
          <w:b/>
          <w:sz w:val="24"/>
          <w:szCs w:val="24"/>
        </w:rPr>
        <w:t xml:space="preserve">4.4. </w:t>
      </w:r>
      <w:bookmarkStart w:id="9" w:name="_Hlk33000124"/>
      <w:r w:rsidRPr="00F42867">
        <w:rPr>
          <w:rFonts w:ascii="Times New Roman" w:hAnsi="Times New Roman" w:cs="Times New Roman"/>
          <w:b/>
          <w:sz w:val="24"/>
          <w:szCs w:val="24"/>
        </w:rPr>
        <w:t>Особые</w:t>
      </w:r>
      <w:r w:rsidRPr="00503B7C">
        <w:rPr>
          <w:rFonts w:ascii="Times New Roman" w:hAnsi="Times New Roman" w:cs="Times New Roman"/>
          <w:b/>
          <w:sz w:val="24"/>
          <w:szCs w:val="24"/>
        </w:rPr>
        <w:t xml:space="preserve"> указания и меры предосторожности при применении</w:t>
      </w:r>
      <w:bookmarkEnd w:id="9"/>
    </w:p>
    <w:p w:rsidR="001610B3" w:rsidRPr="00503B7C" w:rsidRDefault="001610B3" w:rsidP="00503B7C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bookmarkStart w:id="10" w:name="_Hlk33792167"/>
      <w:r w:rsidRPr="00503B7C">
        <w:rPr>
          <w:rFonts w:ascii="Times New Roman" w:hAnsi="Times New Roman" w:cs="Times New Roman"/>
          <w:i/>
          <w:sz w:val="24"/>
          <w:szCs w:val="24"/>
        </w:rPr>
        <w:t>Воздействие на функцию почек</w:t>
      </w:r>
    </w:p>
    <w:p w:rsidR="00303729" w:rsidRPr="00503B7C" w:rsidRDefault="00303729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Протеинурия, определяемая при помощи тест-полосок, чаще всего тубулярная, наблюдалась у пациентов, получавших повышенные дозы препарата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>, в частности в дозе 40 мг, однако в большинстве случаев она носила временный характер.</w:t>
      </w:r>
    </w:p>
    <w:p w:rsidR="001610B3" w:rsidRPr="00503B7C" w:rsidRDefault="00303729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Протеинурия не является прогностическим фактором острого или прогрессирующего заболевания почек. Коэффициент случаев серьезных заболеваний почек в пострегистрационный период выше при </w:t>
      </w:r>
      <w:r w:rsidR="005235B5" w:rsidRPr="00503B7C">
        <w:rPr>
          <w:rFonts w:ascii="Times New Roman" w:hAnsi="Times New Roman" w:cs="Times New Roman"/>
          <w:sz w:val="24"/>
          <w:szCs w:val="24"/>
        </w:rPr>
        <w:t xml:space="preserve">назначенной </w:t>
      </w:r>
      <w:r w:rsidRPr="00503B7C">
        <w:rPr>
          <w:rFonts w:ascii="Times New Roman" w:hAnsi="Times New Roman" w:cs="Times New Roman"/>
          <w:sz w:val="24"/>
          <w:szCs w:val="24"/>
        </w:rPr>
        <w:t>дозе 40 мг. У пациентов, получающих препарат в дозировке 40 мг, должна проводиться оценка функции почек.</w:t>
      </w:r>
    </w:p>
    <w:p w:rsidR="002D5B05" w:rsidRPr="00503B7C" w:rsidRDefault="002D5B05" w:rsidP="00503B7C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Воздействие на скелетные мышцы</w:t>
      </w:r>
    </w:p>
    <w:p w:rsidR="002D5B05" w:rsidRPr="00503B7C" w:rsidRDefault="002D5B05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lastRenderedPageBreak/>
        <w:t>Сообщалось о воздействии на мышцы скелета, в т. ч. миалгия, миопатия (включая миозит) и</w:t>
      </w:r>
      <w:r w:rsidR="004F6273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редких случаях рабдомиолиз с острой почечной недостаточностью или без нее у пациентов, получавших лечение препаратом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, </w:t>
      </w:r>
      <w:r w:rsidR="004F6273" w:rsidRPr="00503B7C">
        <w:rPr>
          <w:rFonts w:ascii="Times New Roman" w:hAnsi="Times New Roman" w:cs="Times New Roman"/>
          <w:sz w:val="24"/>
          <w:szCs w:val="24"/>
        </w:rPr>
        <w:t>во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всех дозировках особенно при дозировках &gt; 20 мг. </w:t>
      </w:r>
      <w:r w:rsidR="004F6273" w:rsidRPr="00503B7C">
        <w:rPr>
          <w:rFonts w:ascii="Times New Roman" w:hAnsi="Times New Roman" w:cs="Times New Roman"/>
          <w:sz w:val="24"/>
          <w:szCs w:val="24"/>
        </w:rPr>
        <w:t>Имеются с</w:t>
      </w:r>
      <w:r w:rsidRPr="00503B7C">
        <w:rPr>
          <w:rFonts w:ascii="Times New Roman" w:hAnsi="Times New Roman" w:cs="Times New Roman"/>
          <w:sz w:val="24"/>
          <w:szCs w:val="24"/>
        </w:rPr>
        <w:t>ообщ</w:t>
      </w:r>
      <w:r w:rsidR="004F6273" w:rsidRPr="00503B7C">
        <w:rPr>
          <w:rFonts w:ascii="Times New Roman" w:hAnsi="Times New Roman" w:cs="Times New Roman"/>
          <w:sz w:val="24"/>
          <w:szCs w:val="24"/>
        </w:rPr>
        <w:t>ения</w:t>
      </w:r>
      <w:r w:rsidRPr="00503B7C">
        <w:rPr>
          <w:rFonts w:ascii="Times New Roman" w:hAnsi="Times New Roman" w:cs="Times New Roman"/>
          <w:sz w:val="24"/>
          <w:szCs w:val="24"/>
        </w:rPr>
        <w:t xml:space="preserve"> об очень редких случаях рабдомиолиза при приеме эзетимиба в комбинации с ингибиторами </w:t>
      </w:r>
      <w:r w:rsidR="004C35A8" w:rsidRPr="00503B7C">
        <w:rPr>
          <w:rFonts w:ascii="Times New Roman" w:hAnsi="Times New Roman" w:cs="Times New Roman"/>
          <w:sz w:val="24"/>
          <w:szCs w:val="24"/>
        </w:rPr>
        <w:t>ГМГ–КоА–редуктазы</w:t>
      </w:r>
      <w:r w:rsidRPr="00503B7C">
        <w:rPr>
          <w:rFonts w:ascii="Times New Roman" w:hAnsi="Times New Roman" w:cs="Times New Roman"/>
          <w:sz w:val="24"/>
          <w:szCs w:val="24"/>
        </w:rPr>
        <w:t>. Нельзя исключать фармакодинамическое взаимодействие</w:t>
      </w:r>
      <w:r w:rsidR="004F6273" w:rsidRPr="00503B7C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2D2446" w:rsidRPr="00503B7C">
        <w:rPr>
          <w:rFonts w:ascii="Times New Roman" w:hAnsi="Times New Roman" w:cs="Times New Roman"/>
          <w:sz w:val="24"/>
          <w:szCs w:val="24"/>
        </w:rPr>
        <w:t>х</w:t>
      </w:r>
      <w:r w:rsidR="004F6273" w:rsidRPr="00503B7C">
        <w:rPr>
          <w:rFonts w:ascii="Times New Roman" w:hAnsi="Times New Roman" w:cs="Times New Roman"/>
          <w:sz w:val="24"/>
          <w:szCs w:val="24"/>
        </w:rPr>
        <w:t xml:space="preserve"> групп препаратов, </w:t>
      </w:r>
      <w:r w:rsidRPr="00503B7C">
        <w:rPr>
          <w:rFonts w:ascii="Times New Roman" w:hAnsi="Times New Roman" w:cs="Times New Roman"/>
          <w:sz w:val="24"/>
          <w:szCs w:val="24"/>
        </w:rPr>
        <w:t xml:space="preserve">следует уделять особое внимание при их </w:t>
      </w:r>
      <w:r w:rsidR="004F6273" w:rsidRPr="00503B7C">
        <w:rPr>
          <w:rFonts w:ascii="Times New Roman" w:hAnsi="Times New Roman" w:cs="Times New Roman"/>
          <w:sz w:val="24"/>
          <w:szCs w:val="24"/>
        </w:rPr>
        <w:t>совместном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применении. Как и у других ингибиторов </w:t>
      </w:r>
      <w:r w:rsidR="004C35A8" w:rsidRPr="00503B7C">
        <w:rPr>
          <w:rFonts w:ascii="Times New Roman" w:hAnsi="Times New Roman" w:cs="Times New Roman"/>
          <w:sz w:val="24"/>
          <w:szCs w:val="24"/>
        </w:rPr>
        <w:t>ГМГ–КоА – редуктазы</w:t>
      </w:r>
      <w:r w:rsidRPr="00503B7C">
        <w:rPr>
          <w:rFonts w:ascii="Times New Roman" w:hAnsi="Times New Roman" w:cs="Times New Roman"/>
          <w:sz w:val="24"/>
          <w:szCs w:val="24"/>
        </w:rPr>
        <w:t>, коэффициент</w:t>
      </w:r>
      <w:r w:rsidR="0078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273" w:rsidRPr="00503B7C">
        <w:rPr>
          <w:rFonts w:ascii="Times New Roman" w:hAnsi="Times New Roman" w:cs="Times New Roman"/>
          <w:sz w:val="24"/>
          <w:szCs w:val="24"/>
        </w:rPr>
        <w:t>случа</w:t>
      </w:r>
      <w:r w:rsidR="00782C9E">
        <w:rPr>
          <w:rFonts w:ascii="Times New Roman" w:hAnsi="Times New Roman" w:cs="Times New Roman"/>
          <w:sz w:val="24"/>
          <w:szCs w:val="24"/>
        </w:rPr>
        <w:t>е</w:t>
      </w:r>
      <w:r w:rsidR="004F6273" w:rsidRPr="00503B7C">
        <w:rPr>
          <w:rFonts w:ascii="Times New Roman" w:hAnsi="Times New Roman" w:cs="Times New Roman"/>
          <w:sz w:val="24"/>
          <w:szCs w:val="24"/>
        </w:rPr>
        <w:t>в</w:t>
      </w:r>
      <w:r w:rsidR="00782C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рабдомиолиза на фоне приема препарата 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пос</w:t>
      </w:r>
      <w:r w:rsidR="004F6273" w:rsidRPr="00503B7C">
        <w:rPr>
          <w:rFonts w:ascii="Times New Roman" w:hAnsi="Times New Roman" w:cs="Times New Roman"/>
          <w:sz w:val="24"/>
          <w:szCs w:val="24"/>
        </w:rPr>
        <w:t>т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регистрационный период выше при </w:t>
      </w:r>
      <w:r w:rsidR="002D2446" w:rsidRPr="00503B7C">
        <w:rPr>
          <w:rFonts w:ascii="Times New Roman" w:hAnsi="Times New Roman" w:cs="Times New Roman"/>
          <w:sz w:val="24"/>
          <w:szCs w:val="24"/>
        </w:rPr>
        <w:t xml:space="preserve">назначенной </w:t>
      </w:r>
      <w:r w:rsidRPr="00503B7C">
        <w:rPr>
          <w:rFonts w:ascii="Times New Roman" w:hAnsi="Times New Roman" w:cs="Times New Roman"/>
          <w:sz w:val="24"/>
          <w:szCs w:val="24"/>
        </w:rPr>
        <w:t>дозе</w:t>
      </w:r>
      <w:r w:rsidR="008435EA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40 мг.</w:t>
      </w:r>
    </w:p>
    <w:p w:rsidR="00757992" w:rsidRPr="00503B7C" w:rsidRDefault="00757992" w:rsidP="00503B7C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Определение креатининкиназы</w:t>
      </w:r>
    </w:p>
    <w:p w:rsidR="00704D65" w:rsidRDefault="00704D65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КК не следует измерять после интенсивных физических нагрузок или при наличии других возможных причин увеличения КК, которые могут привести к неверной интерпретации полученных результатов. В случае если исходный уровень КК существенно повышен (в 5 раз выше, чем верхняя граница нормы) через 5–7 дней, следует провести повторное измерение. Не следует начинать терапию, если повторный тест подтверждает исходный уровень КК (выше более чем в 5 раз по сравнению с верхней границей нормы).</w:t>
      </w:r>
    </w:p>
    <w:p w:rsidR="00704D65" w:rsidRPr="008435EA" w:rsidRDefault="00B216F4" w:rsidP="00503B7C">
      <w:pPr>
        <w:pStyle w:val="a5"/>
        <w:ind w:right="-1"/>
        <w:jc w:val="both"/>
        <w:rPr>
          <w:sz w:val="24"/>
          <w:szCs w:val="24"/>
          <w:lang w:val="ru-RU"/>
        </w:rPr>
      </w:pPr>
      <w:r w:rsidRPr="008435EA">
        <w:rPr>
          <w:i/>
          <w:sz w:val="24"/>
          <w:szCs w:val="24"/>
        </w:rPr>
        <w:t>С осторожностью</w:t>
      </w:r>
      <w:r w:rsidRPr="008435EA">
        <w:rPr>
          <w:sz w:val="24"/>
          <w:szCs w:val="24"/>
        </w:rPr>
        <w:t xml:space="preserve"> п</w:t>
      </w:r>
      <w:r w:rsidR="00704D65" w:rsidRPr="008435EA">
        <w:rPr>
          <w:sz w:val="24"/>
          <w:szCs w:val="24"/>
        </w:rPr>
        <w:t xml:space="preserve">репарат </w:t>
      </w:r>
      <w:r w:rsidR="00082743" w:rsidRPr="008435EA">
        <w:rPr>
          <w:bCs/>
          <w:caps/>
          <w:sz w:val="24"/>
          <w:szCs w:val="24"/>
          <w:lang w:val="ru-RU"/>
        </w:rPr>
        <w:t>[</w:t>
      </w:r>
      <w:r w:rsidR="00082743" w:rsidRPr="008435EA">
        <w:rPr>
          <w:bCs/>
          <w:caps/>
          <w:sz w:val="24"/>
          <w:szCs w:val="24"/>
          <w:highlight w:val="lightGray"/>
          <w:lang w:val="ru-RU"/>
        </w:rPr>
        <w:t>ТОРГОВОЕ НАЗВАНИЕ</w:t>
      </w:r>
      <w:r w:rsidR="00082743" w:rsidRPr="008435EA">
        <w:rPr>
          <w:bCs/>
          <w:caps/>
          <w:sz w:val="24"/>
          <w:szCs w:val="24"/>
          <w:lang w:val="ru-RU"/>
        </w:rPr>
        <w:t>]</w:t>
      </w:r>
      <w:r w:rsidR="00704D65" w:rsidRPr="008435EA">
        <w:rPr>
          <w:sz w:val="24"/>
          <w:szCs w:val="24"/>
        </w:rPr>
        <w:t xml:space="preserve">, как и другие ингибиторы </w:t>
      </w:r>
      <w:r w:rsidR="004C35A8" w:rsidRPr="008435EA">
        <w:rPr>
          <w:sz w:val="24"/>
          <w:szCs w:val="24"/>
        </w:rPr>
        <w:t>ГМГ–КоА – редуктазы</w:t>
      </w:r>
      <w:r w:rsidR="00704D65" w:rsidRPr="008435EA">
        <w:rPr>
          <w:sz w:val="24"/>
          <w:szCs w:val="24"/>
        </w:rPr>
        <w:t xml:space="preserve">, должен назначаться пациентам с предрасположенностью к миопатии/рабдомиолизу. </w:t>
      </w:r>
      <w:r w:rsidR="004C35A8" w:rsidRPr="008435EA">
        <w:rPr>
          <w:sz w:val="24"/>
          <w:szCs w:val="24"/>
        </w:rPr>
        <w:t>Предрасполагающими</w:t>
      </w:r>
      <w:r w:rsidR="00704D65" w:rsidRPr="008435EA">
        <w:rPr>
          <w:sz w:val="24"/>
          <w:szCs w:val="24"/>
        </w:rPr>
        <w:t xml:space="preserve"> факторами являются такие </w:t>
      </w:r>
      <w:r w:rsidR="002917CC" w:rsidRPr="008435EA">
        <w:rPr>
          <w:sz w:val="24"/>
          <w:szCs w:val="24"/>
        </w:rPr>
        <w:t>как</w:t>
      </w:r>
      <w:r w:rsidR="00704D65" w:rsidRPr="008435EA">
        <w:rPr>
          <w:sz w:val="24"/>
          <w:szCs w:val="24"/>
        </w:rPr>
        <w:t xml:space="preserve"> нарушение функции почек</w:t>
      </w:r>
      <w:r w:rsidR="002917CC" w:rsidRPr="008435EA">
        <w:rPr>
          <w:sz w:val="24"/>
          <w:szCs w:val="24"/>
        </w:rPr>
        <w:t xml:space="preserve">, </w:t>
      </w:r>
      <w:r w:rsidR="00704D65" w:rsidRPr="008435EA">
        <w:rPr>
          <w:sz w:val="24"/>
          <w:szCs w:val="24"/>
        </w:rPr>
        <w:t>гипотиреоз</w:t>
      </w:r>
      <w:r w:rsidR="002917CC" w:rsidRPr="008435EA">
        <w:rPr>
          <w:sz w:val="24"/>
          <w:szCs w:val="24"/>
        </w:rPr>
        <w:t xml:space="preserve">, </w:t>
      </w:r>
      <w:r w:rsidR="007B370B" w:rsidRPr="008435EA">
        <w:rPr>
          <w:sz w:val="24"/>
          <w:szCs w:val="24"/>
        </w:rPr>
        <w:t>индивидуальная</w:t>
      </w:r>
      <w:r w:rsidR="00704D65" w:rsidRPr="008435EA">
        <w:rPr>
          <w:sz w:val="24"/>
          <w:szCs w:val="24"/>
        </w:rPr>
        <w:t xml:space="preserve"> или генетическ</w:t>
      </w:r>
      <w:r w:rsidR="002D2446" w:rsidRPr="008435EA">
        <w:rPr>
          <w:sz w:val="24"/>
          <w:szCs w:val="24"/>
        </w:rPr>
        <w:t>ая</w:t>
      </w:r>
      <w:r w:rsidR="00704D65" w:rsidRPr="008435EA">
        <w:rPr>
          <w:sz w:val="24"/>
          <w:szCs w:val="24"/>
        </w:rPr>
        <w:t xml:space="preserve"> предрасположенность к врожденным мышечным расстройствам</w:t>
      </w:r>
      <w:r w:rsidR="002917CC" w:rsidRPr="008435EA">
        <w:rPr>
          <w:sz w:val="24"/>
          <w:szCs w:val="24"/>
        </w:rPr>
        <w:t xml:space="preserve">, </w:t>
      </w:r>
      <w:r w:rsidR="00704D65" w:rsidRPr="008435EA">
        <w:rPr>
          <w:sz w:val="24"/>
          <w:szCs w:val="24"/>
        </w:rPr>
        <w:t xml:space="preserve">наличие в анамнезе мышечной токсичности при использовании других ингибиторов </w:t>
      </w:r>
      <w:r w:rsidR="003946AB" w:rsidRPr="008435EA">
        <w:rPr>
          <w:sz w:val="24"/>
          <w:szCs w:val="24"/>
        </w:rPr>
        <w:t>ГМГ–КоА – редуктазы</w:t>
      </w:r>
      <w:r w:rsidR="00782C9E" w:rsidRPr="008435EA">
        <w:rPr>
          <w:sz w:val="24"/>
          <w:szCs w:val="24"/>
          <w:lang w:val="ru-RU"/>
        </w:rPr>
        <w:t xml:space="preserve"> </w:t>
      </w:r>
      <w:r w:rsidR="00704D65" w:rsidRPr="008435EA">
        <w:rPr>
          <w:sz w:val="24"/>
          <w:szCs w:val="24"/>
        </w:rPr>
        <w:t>или фибратов</w:t>
      </w:r>
      <w:r w:rsidR="002917CC" w:rsidRPr="008435EA">
        <w:rPr>
          <w:sz w:val="24"/>
          <w:szCs w:val="24"/>
        </w:rPr>
        <w:t xml:space="preserve">, </w:t>
      </w:r>
      <w:r w:rsidR="00704D65" w:rsidRPr="008435EA">
        <w:rPr>
          <w:sz w:val="24"/>
          <w:szCs w:val="24"/>
        </w:rPr>
        <w:t>употребление алкоголя</w:t>
      </w:r>
      <w:r w:rsidR="002917CC" w:rsidRPr="008435EA">
        <w:rPr>
          <w:sz w:val="24"/>
          <w:szCs w:val="24"/>
        </w:rPr>
        <w:t xml:space="preserve">, </w:t>
      </w:r>
      <w:r w:rsidR="00704D65" w:rsidRPr="008435EA">
        <w:rPr>
          <w:sz w:val="24"/>
          <w:szCs w:val="24"/>
        </w:rPr>
        <w:t>возраст &gt; 70 лет</w:t>
      </w:r>
      <w:r w:rsidR="002917CC" w:rsidRPr="008435EA">
        <w:rPr>
          <w:sz w:val="24"/>
          <w:szCs w:val="24"/>
        </w:rPr>
        <w:t xml:space="preserve">, </w:t>
      </w:r>
      <w:r w:rsidR="0090622F" w:rsidRPr="008435EA">
        <w:rPr>
          <w:sz w:val="24"/>
          <w:szCs w:val="24"/>
        </w:rPr>
        <w:t>состояния, которые могут приводить к повышению плазменной концентрации розувастатина</w:t>
      </w:r>
      <w:r w:rsidR="002917CC" w:rsidRPr="008435EA">
        <w:rPr>
          <w:sz w:val="24"/>
          <w:szCs w:val="24"/>
        </w:rPr>
        <w:t xml:space="preserve">, </w:t>
      </w:r>
      <w:r w:rsidR="00704D65" w:rsidRPr="008435EA">
        <w:rPr>
          <w:sz w:val="24"/>
          <w:szCs w:val="24"/>
        </w:rPr>
        <w:t>сопутствующее применение фибратов.</w:t>
      </w:r>
    </w:p>
    <w:p w:rsidR="00704D65" w:rsidRPr="00503B7C" w:rsidRDefault="00704D65" w:rsidP="00503B7C">
      <w:pPr>
        <w:jc w:val="both"/>
        <w:rPr>
          <w:rFonts w:eastAsia="Arial Unicode MS"/>
          <w:sz w:val="24"/>
          <w:szCs w:val="24"/>
        </w:rPr>
      </w:pPr>
      <w:r w:rsidRPr="008435EA">
        <w:rPr>
          <w:sz w:val="24"/>
          <w:szCs w:val="24"/>
        </w:rPr>
        <w:t xml:space="preserve">У таких пациентов </w:t>
      </w:r>
      <w:r w:rsidR="00E543AF" w:rsidRPr="008435EA">
        <w:rPr>
          <w:sz w:val="24"/>
          <w:szCs w:val="24"/>
        </w:rPr>
        <w:t>терапию препаратом</w:t>
      </w:r>
      <w:r w:rsidRPr="008435EA">
        <w:rPr>
          <w:sz w:val="24"/>
          <w:szCs w:val="24"/>
        </w:rPr>
        <w:t xml:space="preserve"> следует рассматривать </w:t>
      </w:r>
      <w:r w:rsidR="00E543AF" w:rsidRPr="008435EA">
        <w:rPr>
          <w:sz w:val="24"/>
          <w:szCs w:val="24"/>
        </w:rPr>
        <w:t xml:space="preserve">на основании оценки </w:t>
      </w:r>
      <w:r w:rsidRPr="008435EA">
        <w:rPr>
          <w:sz w:val="24"/>
          <w:szCs w:val="24"/>
        </w:rPr>
        <w:t>пользы</w:t>
      </w:r>
      <w:r w:rsidR="00E543AF" w:rsidRPr="008435EA">
        <w:rPr>
          <w:sz w:val="24"/>
          <w:szCs w:val="24"/>
        </w:rPr>
        <w:t xml:space="preserve"> и риска</w:t>
      </w:r>
      <w:r w:rsidRPr="008435EA">
        <w:rPr>
          <w:sz w:val="24"/>
          <w:szCs w:val="24"/>
        </w:rPr>
        <w:t xml:space="preserve">, рекомендуется проводить клинический мониторинг. Если уровни КК существенно повышены на исходном уровне </w:t>
      </w:r>
      <w:r w:rsidR="00E543AF" w:rsidRPr="008435EA">
        <w:rPr>
          <w:sz w:val="24"/>
          <w:szCs w:val="24"/>
        </w:rPr>
        <w:t>в 5 раз выше, чем верхняя граница нормы</w:t>
      </w:r>
      <w:r w:rsidRPr="008435EA">
        <w:rPr>
          <w:sz w:val="24"/>
          <w:szCs w:val="24"/>
        </w:rPr>
        <w:t>, лечение начинать не следует.</w:t>
      </w:r>
      <w:r w:rsidR="003C61E5">
        <w:rPr>
          <w:sz w:val="24"/>
          <w:szCs w:val="24"/>
        </w:rPr>
        <w:t xml:space="preserve"> </w:t>
      </w:r>
      <w:r w:rsidRPr="008435EA">
        <w:rPr>
          <w:rFonts w:eastAsia="Arial Unicode MS"/>
          <w:sz w:val="24"/>
          <w:szCs w:val="24"/>
        </w:rPr>
        <w:t xml:space="preserve">Следует проинформировать пациента о необходимости немедленного </w:t>
      </w:r>
      <w:r w:rsidR="00FC31F3" w:rsidRPr="008435EA">
        <w:rPr>
          <w:rFonts w:eastAsia="Arial Unicode MS"/>
          <w:sz w:val="24"/>
          <w:szCs w:val="24"/>
        </w:rPr>
        <w:t xml:space="preserve">обращения к </w:t>
      </w:r>
      <w:r w:rsidRPr="008435EA">
        <w:rPr>
          <w:rFonts w:eastAsia="Arial Unicode MS"/>
          <w:sz w:val="24"/>
          <w:szCs w:val="24"/>
        </w:rPr>
        <w:t xml:space="preserve">врачу </w:t>
      </w:r>
      <w:r w:rsidR="00FC31F3" w:rsidRPr="008435EA">
        <w:rPr>
          <w:rFonts w:eastAsia="Arial Unicode MS"/>
          <w:sz w:val="24"/>
          <w:szCs w:val="24"/>
        </w:rPr>
        <w:t>в</w:t>
      </w:r>
      <w:r w:rsidRPr="008435EA">
        <w:rPr>
          <w:rFonts w:eastAsia="Arial Unicode MS"/>
          <w:sz w:val="24"/>
          <w:szCs w:val="24"/>
        </w:rPr>
        <w:t xml:space="preserve"> случаях неожиданного появления мышечных болей, мышечной слабости или </w:t>
      </w:r>
      <w:r w:rsidR="00B6456A" w:rsidRPr="008435EA">
        <w:rPr>
          <w:rFonts w:eastAsia="Arial Unicode MS"/>
          <w:sz w:val="24"/>
          <w:szCs w:val="24"/>
        </w:rPr>
        <w:t>спазмов</w:t>
      </w:r>
      <w:r w:rsidRPr="008435EA">
        <w:rPr>
          <w:rFonts w:eastAsia="Arial Unicode MS"/>
          <w:sz w:val="24"/>
          <w:szCs w:val="24"/>
        </w:rPr>
        <w:t xml:space="preserve">, особенно в сочетании с недомоганием и лихорадкой. У таких пациентов следует </w:t>
      </w:r>
      <w:r w:rsidR="00FC31F3" w:rsidRPr="008435EA">
        <w:rPr>
          <w:rFonts w:eastAsia="Arial Unicode MS"/>
          <w:sz w:val="24"/>
          <w:szCs w:val="24"/>
        </w:rPr>
        <w:t xml:space="preserve">проводить мониторинг </w:t>
      </w:r>
      <w:r w:rsidRPr="008435EA">
        <w:rPr>
          <w:rFonts w:eastAsia="Arial Unicode MS"/>
          <w:sz w:val="24"/>
          <w:szCs w:val="24"/>
        </w:rPr>
        <w:t>уровн</w:t>
      </w:r>
      <w:r w:rsidR="00FC31F3" w:rsidRPr="008435EA">
        <w:rPr>
          <w:rFonts w:eastAsia="Arial Unicode MS"/>
          <w:sz w:val="24"/>
          <w:szCs w:val="24"/>
        </w:rPr>
        <w:t>я</w:t>
      </w:r>
      <w:r w:rsidRPr="008435EA">
        <w:rPr>
          <w:rFonts w:eastAsia="Arial Unicode MS"/>
          <w:sz w:val="24"/>
          <w:szCs w:val="24"/>
        </w:rPr>
        <w:t xml:space="preserve"> КК. Терапия должна быть прекращена, если уровень КК значительно увеличен (более чем в 5 раз по сравнению с верхней границей нормы) или если симптомы со стороны мышц резко выражены</w:t>
      </w:r>
      <w:r w:rsidRPr="00503B7C">
        <w:rPr>
          <w:rFonts w:eastAsia="Arial Unicode MS"/>
          <w:sz w:val="24"/>
          <w:szCs w:val="24"/>
        </w:rPr>
        <w:t xml:space="preserve"> и вызывают ежедневный дискомфорт (даже, если уровень КФК в 5 раз меньше по сравнению с верхней границей нормы). Если симптомы исчезают и уровень КК возвращается к норме, следует рассмотреть вопрос о повторном назначении </w:t>
      </w:r>
      <w:r w:rsidR="00FC31F3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или других ингибиторов ГМГ-КоА-редуктазы в меньших дозах</w:t>
      </w:r>
      <w:r w:rsidR="00FC31F3" w:rsidRPr="00503B7C">
        <w:rPr>
          <w:rFonts w:eastAsia="Arial Unicode MS"/>
          <w:sz w:val="24"/>
          <w:szCs w:val="24"/>
        </w:rPr>
        <w:t xml:space="preserve"> и</w:t>
      </w:r>
      <w:r w:rsidRPr="00503B7C">
        <w:rPr>
          <w:rFonts w:eastAsia="Arial Unicode MS"/>
          <w:sz w:val="24"/>
          <w:szCs w:val="24"/>
        </w:rPr>
        <w:t xml:space="preserve"> при тщательном наблюдении за пациентом. Рутинный контроль</w:t>
      </w:r>
      <w:r w:rsidR="00FC31F3" w:rsidRPr="00503B7C">
        <w:rPr>
          <w:rFonts w:eastAsia="Arial Unicode MS"/>
          <w:sz w:val="24"/>
          <w:szCs w:val="24"/>
        </w:rPr>
        <w:t xml:space="preserve"> уровня</w:t>
      </w:r>
      <w:r w:rsidRPr="00503B7C">
        <w:rPr>
          <w:rFonts w:eastAsia="Arial Unicode MS"/>
          <w:sz w:val="24"/>
          <w:szCs w:val="24"/>
        </w:rPr>
        <w:t xml:space="preserve"> КК при отсутствии симптомов не целесообразен.</w:t>
      </w:r>
    </w:p>
    <w:p w:rsidR="00704D65" w:rsidRPr="00503B7C" w:rsidRDefault="00704D65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Отмечены очень редкие случаи иммуноопосредованной</w:t>
      </w:r>
      <w:r w:rsidR="003C61E5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 xml:space="preserve">некротизирующей миопатии с клиническими проявлениями в виде стойкой слабости проксимальных мышц и повышения уровня КК в сыворотке крови во время лечения или </w:t>
      </w:r>
      <w:r w:rsidR="00FC31F3" w:rsidRPr="00503B7C">
        <w:rPr>
          <w:rFonts w:eastAsia="Arial Unicode MS"/>
          <w:sz w:val="24"/>
          <w:szCs w:val="24"/>
        </w:rPr>
        <w:t xml:space="preserve">после </w:t>
      </w:r>
      <w:r w:rsidRPr="00503B7C">
        <w:rPr>
          <w:rFonts w:eastAsia="Arial Unicode MS"/>
          <w:sz w:val="24"/>
          <w:szCs w:val="24"/>
        </w:rPr>
        <w:t>прекращени</w:t>
      </w:r>
      <w:r w:rsidR="00FC31F3" w:rsidRPr="00503B7C">
        <w:rPr>
          <w:rFonts w:eastAsia="Arial Unicode MS"/>
          <w:sz w:val="24"/>
          <w:szCs w:val="24"/>
        </w:rPr>
        <w:t>я</w:t>
      </w:r>
      <w:r w:rsidRPr="00503B7C">
        <w:rPr>
          <w:rFonts w:eastAsia="Arial Unicode MS"/>
          <w:sz w:val="24"/>
          <w:szCs w:val="24"/>
        </w:rPr>
        <w:t xml:space="preserve"> приема статинов, в том числе розувастатина. Может потребоваться проведение дополнительных исследований мышечной и нервной систем, серологических исследований, а также терапия иммунодепрессивными средствами.</w:t>
      </w:r>
    </w:p>
    <w:p w:rsidR="00704D65" w:rsidRPr="00503B7C" w:rsidRDefault="00704D65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Не отмечено признаков увеличения воздействия на скелетную мускулатуру при приеме </w:t>
      </w:r>
      <w:r w:rsidR="00B562CD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сопутствующей терапии. </w:t>
      </w:r>
      <w:r w:rsidR="00B562CD" w:rsidRPr="00503B7C">
        <w:rPr>
          <w:rFonts w:eastAsia="Arial Unicode MS"/>
          <w:sz w:val="24"/>
          <w:szCs w:val="24"/>
        </w:rPr>
        <w:t>Однако, с</w:t>
      </w:r>
      <w:r w:rsidRPr="00503B7C">
        <w:rPr>
          <w:rFonts w:eastAsia="Arial Unicode MS"/>
          <w:sz w:val="24"/>
          <w:szCs w:val="24"/>
        </w:rPr>
        <w:t xml:space="preserve">ообщалось об увеличении числа случаев миозита и миопатии у пациентов, принимавших другие ингибиторы ГМГ-КоА-редуктазы в сочетании с производными </w:t>
      </w:r>
      <w:r w:rsidR="00B562CD" w:rsidRPr="00503B7C">
        <w:rPr>
          <w:rFonts w:eastAsia="Arial Unicode MS"/>
          <w:sz w:val="24"/>
          <w:szCs w:val="24"/>
        </w:rPr>
        <w:t>фиброевой</w:t>
      </w:r>
      <w:r w:rsidR="00AE3FE6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 xml:space="preserve">кислоты, </w:t>
      </w:r>
      <w:r w:rsidRPr="00503B7C">
        <w:rPr>
          <w:rFonts w:eastAsia="Arial Unicode MS"/>
          <w:sz w:val="24"/>
          <w:szCs w:val="24"/>
        </w:rPr>
        <w:lastRenderedPageBreak/>
        <w:t xml:space="preserve">включая гемфиброзил, циклоспорин, никотиновую кислоту, азольные противогрибковые средства, ингибиторы протеаз и макролидные антибиотики. Гемфиброзил увеличивает риск возникновения миопатии при </w:t>
      </w:r>
      <w:r w:rsidR="00B562CD" w:rsidRPr="00503B7C">
        <w:rPr>
          <w:rFonts w:eastAsia="Arial Unicode MS"/>
          <w:sz w:val="24"/>
          <w:szCs w:val="24"/>
        </w:rPr>
        <w:t xml:space="preserve">совместном </w:t>
      </w:r>
      <w:r w:rsidRPr="00503B7C">
        <w:rPr>
          <w:rFonts w:eastAsia="Arial Unicode MS"/>
          <w:sz w:val="24"/>
          <w:szCs w:val="24"/>
        </w:rPr>
        <w:t>назначении с некоторыми ингибиторами ГМГ-КоА-редуктазы. Таким образом, не рекомендуется одновременное назначение</w:t>
      </w:r>
      <w:r w:rsidR="00B562CD" w:rsidRPr="00503B7C">
        <w:rPr>
          <w:rFonts w:eastAsia="Arial Unicode MS"/>
          <w:sz w:val="24"/>
          <w:szCs w:val="24"/>
        </w:rPr>
        <w:t xml:space="preserve"> препарата</w:t>
      </w:r>
      <w:r w:rsidR="00AE3FE6">
        <w:rPr>
          <w:rFonts w:eastAsia="Arial Unicode MS"/>
          <w:sz w:val="24"/>
          <w:szCs w:val="24"/>
        </w:rPr>
        <w:t xml:space="preserve">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гемфиброзила. Должно быть тщательно взвешено соотношение возможной пользы </w:t>
      </w:r>
      <w:r w:rsidR="00AA55A0" w:rsidRPr="00503B7C">
        <w:rPr>
          <w:rFonts w:eastAsia="Arial Unicode MS"/>
          <w:sz w:val="24"/>
          <w:szCs w:val="24"/>
        </w:rPr>
        <w:t xml:space="preserve">и риска </w:t>
      </w:r>
      <w:r w:rsidRPr="00503B7C">
        <w:rPr>
          <w:rFonts w:eastAsia="Arial Unicode MS"/>
          <w:sz w:val="24"/>
          <w:szCs w:val="24"/>
        </w:rPr>
        <w:t xml:space="preserve">при совместном применении </w:t>
      </w:r>
      <w:r w:rsidR="00AA55A0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AE3FE6">
        <w:rPr>
          <w:bCs/>
          <w:caps/>
          <w:sz w:val="24"/>
          <w:szCs w:val="24"/>
        </w:rPr>
        <w:t xml:space="preserve"> </w:t>
      </w:r>
      <w:r w:rsidR="00AA55A0" w:rsidRPr="00503B7C">
        <w:rPr>
          <w:rFonts w:eastAsia="Arial Unicode MS"/>
          <w:sz w:val="24"/>
          <w:szCs w:val="24"/>
        </w:rPr>
        <w:t xml:space="preserve">с </w:t>
      </w:r>
      <w:r w:rsidRPr="00503B7C">
        <w:rPr>
          <w:rFonts w:eastAsia="Arial Unicode MS"/>
          <w:sz w:val="24"/>
          <w:szCs w:val="24"/>
        </w:rPr>
        <w:t>фибрат</w:t>
      </w:r>
      <w:r w:rsidR="00AA55A0" w:rsidRPr="00503B7C">
        <w:rPr>
          <w:rFonts w:eastAsia="Arial Unicode MS"/>
          <w:sz w:val="24"/>
          <w:szCs w:val="24"/>
        </w:rPr>
        <w:t>ами</w:t>
      </w:r>
      <w:r w:rsidRPr="00503B7C">
        <w:rPr>
          <w:rFonts w:eastAsia="Arial Unicode MS"/>
          <w:sz w:val="24"/>
          <w:szCs w:val="24"/>
        </w:rPr>
        <w:t xml:space="preserve"> или ниацин</w:t>
      </w:r>
      <w:r w:rsidR="00AA55A0" w:rsidRPr="00503B7C">
        <w:rPr>
          <w:rFonts w:eastAsia="Arial Unicode MS"/>
          <w:sz w:val="24"/>
          <w:szCs w:val="24"/>
        </w:rPr>
        <w:t>ом</w:t>
      </w:r>
      <w:r w:rsidRPr="00503B7C">
        <w:rPr>
          <w:rFonts w:eastAsia="Arial Unicode MS"/>
          <w:sz w:val="24"/>
          <w:szCs w:val="24"/>
        </w:rPr>
        <w:t>.</w:t>
      </w:r>
      <w:r w:rsidR="00AE3FE6">
        <w:rPr>
          <w:rFonts w:eastAsia="Arial Unicode MS"/>
          <w:sz w:val="24"/>
          <w:szCs w:val="24"/>
        </w:rPr>
        <w:t xml:space="preserve"> </w:t>
      </w:r>
      <w:r w:rsidR="00AA55A0" w:rsidRPr="00503B7C">
        <w:rPr>
          <w:sz w:val="24"/>
          <w:szCs w:val="24"/>
        </w:rPr>
        <w:t xml:space="preserve">Розувастатин в </w:t>
      </w:r>
      <w:r w:rsidR="00AA55A0" w:rsidRPr="00503B7C">
        <w:rPr>
          <w:rFonts w:eastAsia="Arial Unicode MS"/>
          <w:sz w:val="24"/>
          <w:szCs w:val="24"/>
        </w:rPr>
        <w:t>дозе 40 мг противопоказан при сопутствующем применении с фибратами.</w:t>
      </w:r>
    </w:p>
    <w:p w:rsidR="00184DD8" w:rsidRPr="00503B7C" w:rsidRDefault="00184DD8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Совместный прием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с препаратами фу</w:t>
      </w:r>
      <w:r w:rsidR="00E25E61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кислоты</w:t>
      </w:r>
      <w:r w:rsidR="00E25E61" w:rsidRPr="00503B7C">
        <w:rPr>
          <w:rFonts w:eastAsia="Arial Unicode MS"/>
          <w:sz w:val="24"/>
          <w:szCs w:val="24"/>
        </w:rPr>
        <w:t xml:space="preserve"> системного действия </w:t>
      </w:r>
      <w:r w:rsidRPr="00503B7C">
        <w:rPr>
          <w:rFonts w:eastAsia="Arial Unicode MS"/>
          <w:sz w:val="24"/>
          <w:szCs w:val="24"/>
        </w:rPr>
        <w:t xml:space="preserve">или в течение 7 дней после прекращения лечения </w:t>
      </w:r>
      <w:r w:rsidR="00E25E61" w:rsidRPr="00503B7C">
        <w:rPr>
          <w:rFonts w:eastAsia="Arial Unicode MS"/>
          <w:sz w:val="24"/>
          <w:szCs w:val="24"/>
        </w:rPr>
        <w:t>такими препаратами противопоказан</w:t>
      </w:r>
      <w:r w:rsidRPr="00503B7C">
        <w:rPr>
          <w:rFonts w:eastAsia="Arial Unicode MS"/>
          <w:sz w:val="24"/>
          <w:szCs w:val="24"/>
        </w:rPr>
        <w:t xml:space="preserve">. У пациентов, для которых лечение </w:t>
      </w:r>
      <w:r w:rsidR="00E25E61" w:rsidRPr="00503B7C">
        <w:rPr>
          <w:rFonts w:eastAsia="Arial Unicode MS"/>
          <w:sz w:val="24"/>
          <w:szCs w:val="24"/>
        </w:rPr>
        <w:t>препаратами</w:t>
      </w:r>
      <w:r w:rsidR="00AE3FE6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фу</w:t>
      </w:r>
      <w:r w:rsidR="00E25E61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</w:t>
      </w:r>
      <w:r w:rsidR="00E25E61" w:rsidRPr="00503B7C">
        <w:rPr>
          <w:rFonts w:eastAsia="Arial Unicode MS"/>
          <w:sz w:val="24"/>
          <w:szCs w:val="24"/>
        </w:rPr>
        <w:t xml:space="preserve">ы системного действия </w:t>
      </w:r>
      <w:r w:rsidRPr="00503B7C">
        <w:rPr>
          <w:rFonts w:eastAsia="Arial Unicode MS"/>
          <w:sz w:val="24"/>
          <w:szCs w:val="24"/>
        </w:rPr>
        <w:t>признано необходимым, лечение статинами должно быть прервано на время терапии</w:t>
      </w:r>
      <w:r w:rsidR="00A263AF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фу</w:t>
      </w:r>
      <w:r w:rsidR="00E25E61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</w:t>
      </w:r>
      <w:r w:rsidR="00E25E61" w:rsidRPr="00503B7C">
        <w:rPr>
          <w:rFonts w:eastAsia="Arial Unicode MS"/>
          <w:sz w:val="24"/>
          <w:szCs w:val="24"/>
        </w:rPr>
        <w:t>ой</w:t>
      </w:r>
      <w:r w:rsidRPr="00503B7C">
        <w:rPr>
          <w:rFonts w:eastAsia="Arial Unicode MS"/>
          <w:sz w:val="24"/>
          <w:szCs w:val="24"/>
        </w:rPr>
        <w:t xml:space="preserve">. Были зафиксированы </w:t>
      </w:r>
      <w:r w:rsidR="00E25E61" w:rsidRPr="00503B7C">
        <w:rPr>
          <w:rFonts w:eastAsia="Arial Unicode MS"/>
          <w:sz w:val="24"/>
          <w:szCs w:val="24"/>
        </w:rPr>
        <w:t>случаи</w:t>
      </w:r>
      <w:r w:rsidR="00A263AF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рабдомиолиз</w:t>
      </w:r>
      <w:r w:rsidR="00E25E61" w:rsidRPr="00503B7C">
        <w:rPr>
          <w:rFonts w:eastAsia="Arial Unicode MS"/>
          <w:sz w:val="24"/>
          <w:szCs w:val="24"/>
        </w:rPr>
        <w:t>а</w:t>
      </w:r>
      <w:r w:rsidRPr="00503B7C">
        <w:rPr>
          <w:rFonts w:eastAsia="Arial Unicode MS"/>
          <w:sz w:val="24"/>
          <w:szCs w:val="24"/>
        </w:rPr>
        <w:t xml:space="preserve"> (включая несколько случаев с летальным исходом) у пациентов, принимавших комбинацию фу</w:t>
      </w:r>
      <w:r w:rsidR="00E25E61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кислоты и статинов. При возникновении симптомов мышечной слабости, боли или болезненной чувствительности пациентам рекомендуется незамедлительно обратиться за медицинской помощью. Терапию статинами можно возобновить через семь дней после приема последней дозы фу</w:t>
      </w:r>
      <w:r w:rsidR="003352F9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 xml:space="preserve">идовой кислоты. В исключительных ситуациях, когда необходимо </w:t>
      </w:r>
      <w:r w:rsidR="003352F9" w:rsidRPr="00503B7C">
        <w:rPr>
          <w:rFonts w:eastAsia="Arial Unicode MS"/>
          <w:sz w:val="24"/>
          <w:szCs w:val="24"/>
        </w:rPr>
        <w:t>длительное</w:t>
      </w:r>
      <w:r w:rsidRPr="00503B7C">
        <w:rPr>
          <w:rFonts w:eastAsia="Arial Unicode MS"/>
          <w:sz w:val="24"/>
          <w:szCs w:val="24"/>
        </w:rPr>
        <w:t xml:space="preserve"> лечение фу</w:t>
      </w:r>
      <w:r w:rsidR="003352F9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кислотой</w:t>
      </w:r>
      <w:r w:rsidR="003352F9" w:rsidRPr="00503B7C">
        <w:rPr>
          <w:rFonts w:eastAsia="Arial Unicode MS"/>
          <w:sz w:val="24"/>
          <w:szCs w:val="24"/>
        </w:rPr>
        <w:t xml:space="preserve"> системного действия</w:t>
      </w:r>
      <w:r w:rsidRPr="00503B7C">
        <w:rPr>
          <w:rFonts w:eastAsia="Arial Unicode MS"/>
          <w:sz w:val="24"/>
          <w:szCs w:val="24"/>
        </w:rPr>
        <w:t>, например для лечения серьезных инфекций, необходимость совместного приема препарат</w:t>
      </w:r>
      <w:r w:rsidR="003352F9" w:rsidRPr="00503B7C">
        <w:rPr>
          <w:rFonts w:eastAsia="Arial Unicode MS"/>
          <w:sz w:val="24"/>
          <w:szCs w:val="24"/>
        </w:rPr>
        <w:t>а</w:t>
      </w:r>
      <w:r w:rsidR="00AE3FE6">
        <w:rPr>
          <w:rFonts w:eastAsia="Arial Unicode MS"/>
          <w:sz w:val="24"/>
          <w:szCs w:val="24"/>
        </w:rPr>
        <w:t xml:space="preserve">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фу</w:t>
      </w:r>
      <w:r w:rsidR="003352F9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 xml:space="preserve">идовой кислоты следует рассматривать в каждом отдельном случае и под </w:t>
      </w:r>
      <w:r w:rsidR="003352F9" w:rsidRPr="00503B7C">
        <w:rPr>
          <w:rFonts w:eastAsia="Arial Unicode MS"/>
          <w:sz w:val="24"/>
          <w:szCs w:val="24"/>
        </w:rPr>
        <w:t>тщательным</w:t>
      </w:r>
      <w:r w:rsidRPr="00503B7C">
        <w:rPr>
          <w:rFonts w:eastAsia="Arial Unicode MS"/>
          <w:sz w:val="24"/>
          <w:szCs w:val="24"/>
        </w:rPr>
        <w:t xml:space="preserve"> медицинским наблюдением.</w:t>
      </w:r>
    </w:p>
    <w:p w:rsidR="00184DD8" w:rsidRPr="00503B7C" w:rsidRDefault="00082743" w:rsidP="00503B7C">
      <w:pPr>
        <w:pStyle w:val="31"/>
      </w:pPr>
      <w:r w:rsidRPr="00082743">
        <w:rPr>
          <w:rFonts w:eastAsia="Times New Roman"/>
          <w:bCs/>
          <w:caps/>
        </w:rPr>
        <w:t>[</w:t>
      </w:r>
      <w:r w:rsidRPr="00082743">
        <w:rPr>
          <w:rFonts w:eastAsia="Times New Roman"/>
          <w:bCs/>
          <w:caps/>
          <w:highlight w:val="lightGray"/>
        </w:rPr>
        <w:t>ТОРГОВОЕ НАЗВАНИЕ</w:t>
      </w:r>
      <w:r w:rsidRPr="00082743">
        <w:rPr>
          <w:rFonts w:eastAsia="Times New Roman"/>
          <w:bCs/>
          <w:caps/>
        </w:rPr>
        <w:t>]</w:t>
      </w:r>
      <w:r w:rsidR="00184DD8" w:rsidRPr="00503B7C">
        <w:t xml:space="preserve"> не следует принимать пациентам с острыми тяжелыми заболеваниями, предполагающим</w:t>
      </w:r>
      <w:r w:rsidR="00B6456A" w:rsidRPr="00503B7C">
        <w:t>и</w:t>
      </w:r>
      <w:r w:rsidR="00184DD8" w:rsidRPr="00503B7C">
        <w:t xml:space="preserve"> миопатию или предрасполагающим</w:t>
      </w:r>
      <w:r w:rsidR="003352F9" w:rsidRPr="00503B7C">
        <w:t>и</w:t>
      </w:r>
      <w:r w:rsidR="00184DD8" w:rsidRPr="00503B7C">
        <w:t xml:space="preserve"> к развитию почечной недостаточности, </w:t>
      </w:r>
      <w:r w:rsidR="00AF40C6" w:rsidRPr="00503B7C">
        <w:t xml:space="preserve">которая является </w:t>
      </w:r>
      <w:r w:rsidR="00184DD8" w:rsidRPr="00503B7C">
        <w:t>вторичной по отношению к рабдомиолизу (например, сепсис, гипотония, тяжелая операция, травма, тяжелые метаболические, эндокринные и электролитные нарушения или неконтролируемые судороги).</w:t>
      </w:r>
    </w:p>
    <w:p w:rsidR="00707CA0" w:rsidRPr="00503B7C" w:rsidRDefault="00707CA0" w:rsidP="00503B7C">
      <w:pPr>
        <w:keepNext/>
        <w:jc w:val="both"/>
        <w:outlineLvl w:val="4"/>
        <w:rPr>
          <w:rFonts w:eastAsia="Arial Unicode MS"/>
          <w:i/>
          <w:iCs/>
          <w:sz w:val="24"/>
          <w:szCs w:val="24"/>
        </w:rPr>
      </w:pPr>
      <w:r w:rsidRPr="00503B7C">
        <w:rPr>
          <w:rFonts w:eastAsia="Arial Unicode MS"/>
          <w:i/>
          <w:iCs/>
          <w:sz w:val="24"/>
          <w:szCs w:val="24"/>
        </w:rPr>
        <w:t>Тяжелые  нежелательные реакции со стороны кожи</w:t>
      </w:r>
    </w:p>
    <w:p w:rsidR="00B348B7" w:rsidRPr="00820104" w:rsidRDefault="00707CA0" w:rsidP="00503B7C">
      <w:pPr>
        <w:jc w:val="both"/>
        <w:rPr>
          <w:rFonts w:eastAsia="Arial Unicode MS"/>
          <w:sz w:val="24"/>
          <w:szCs w:val="24"/>
        </w:rPr>
      </w:pPr>
      <w:r w:rsidRPr="00820104">
        <w:rPr>
          <w:rFonts w:eastAsia="Arial Unicode MS"/>
          <w:sz w:val="24"/>
          <w:szCs w:val="24"/>
        </w:rPr>
        <w:t>При применении розувастатина были зарегистрированы кожные нежелательные реакции тяжелой степени, включая синдром Стивенса-Джонсона (SJS) и лекарственные реакции c эозинофилией и системными симптомами (</w:t>
      </w:r>
      <w:r w:rsidRPr="00820104">
        <w:rPr>
          <w:rFonts w:eastAsia="Arial Unicode MS"/>
          <w:sz w:val="24"/>
          <w:szCs w:val="24"/>
          <w:lang w:val="en-GB"/>
        </w:rPr>
        <w:t>Drug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reaction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with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eosinophilia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and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systemic</w:t>
      </w:r>
      <w:r w:rsidR="00A263AF">
        <w:rPr>
          <w:rFonts w:eastAsia="Arial Unicode MS"/>
          <w:sz w:val="24"/>
          <w:szCs w:val="24"/>
        </w:rPr>
        <w:t xml:space="preserve"> </w:t>
      </w:r>
      <w:r w:rsidRPr="00820104">
        <w:rPr>
          <w:rFonts w:eastAsia="Arial Unicode MS"/>
          <w:sz w:val="24"/>
          <w:szCs w:val="24"/>
          <w:lang w:val="en-GB"/>
        </w:rPr>
        <w:t>symptoms</w:t>
      </w:r>
      <w:r w:rsidRPr="00820104">
        <w:rPr>
          <w:rFonts w:eastAsia="Arial Unicode MS"/>
          <w:sz w:val="24"/>
          <w:szCs w:val="24"/>
        </w:rPr>
        <w:t xml:space="preserve"> (DRESS)), которые могут быть опасными для жизни или иметь летальный исход. При назначении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820104">
        <w:rPr>
          <w:rFonts w:eastAsia="Arial Unicode MS"/>
          <w:sz w:val="24"/>
          <w:szCs w:val="24"/>
        </w:rPr>
        <w:t xml:space="preserve"> пациенты должны быть проинформированы о признаках и симптомах тяжелых кожных нежелательных реакций с последующим тщательным наблюдением за этими пациентами. </w:t>
      </w:r>
    </w:p>
    <w:p w:rsidR="00B348B7" w:rsidRPr="00820104" w:rsidRDefault="00B348B7" w:rsidP="00B348B7">
      <w:pPr>
        <w:jc w:val="both"/>
        <w:rPr>
          <w:rFonts w:eastAsia="Arial Unicode MS"/>
          <w:sz w:val="24"/>
          <w:szCs w:val="24"/>
        </w:rPr>
      </w:pPr>
      <w:r w:rsidRPr="00820104">
        <w:rPr>
          <w:rFonts w:eastAsia="Arial Unicode MS"/>
          <w:sz w:val="24"/>
          <w:szCs w:val="24"/>
        </w:rPr>
        <w:t>Синдром Стивенса-Джонсона обычно характеризуется   появлением   красноватых круглых пятен на туловище, часто с волдырями в центре, шелушением на коже, появлением язв во рту, горле, носовых проходах, гениталиях и глазах. Этим серьезным высыпаниям на коже могут предшествовать лихорадка и гриппоподобные симптомы.</w:t>
      </w:r>
    </w:p>
    <w:p w:rsidR="00B348B7" w:rsidRPr="00820104" w:rsidRDefault="00B348B7" w:rsidP="00B348B7">
      <w:pPr>
        <w:jc w:val="both"/>
        <w:rPr>
          <w:rFonts w:eastAsia="Arial Unicode MS"/>
          <w:sz w:val="24"/>
          <w:szCs w:val="24"/>
        </w:rPr>
      </w:pPr>
      <w:r w:rsidRPr="00820104">
        <w:rPr>
          <w:rFonts w:eastAsia="Arial Unicode MS"/>
          <w:sz w:val="24"/>
          <w:szCs w:val="24"/>
        </w:rPr>
        <w:t>Синдром DRESS или синдром гиперчувствительности к лекарственному препарату характеризуется появлением распространенной сыпи, высокой температурой тела и увеличением лимфатических узлов.</w:t>
      </w:r>
    </w:p>
    <w:p w:rsidR="00707CA0" w:rsidRPr="00820104" w:rsidRDefault="00707CA0" w:rsidP="00503B7C">
      <w:pPr>
        <w:jc w:val="both"/>
        <w:rPr>
          <w:rFonts w:eastAsia="Arial Unicode MS"/>
          <w:sz w:val="24"/>
          <w:szCs w:val="24"/>
        </w:rPr>
      </w:pPr>
      <w:r w:rsidRPr="00820104">
        <w:rPr>
          <w:rFonts w:eastAsia="Arial Unicode MS"/>
          <w:sz w:val="24"/>
          <w:szCs w:val="24"/>
        </w:rPr>
        <w:t xml:space="preserve">При возникновении признаков и симптомов, указывающих на такие нежелательные реакции, необходимо немедленно отменить препарат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820104">
        <w:rPr>
          <w:rFonts w:eastAsia="Arial Unicode MS"/>
          <w:sz w:val="24"/>
          <w:szCs w:val="24"/>
        </w:rPr>
        <w:t xml:space="preserve"> и назначить альтернативное лечение. </w:t>
      </w:r>
    </w:p>
    <w:p w:rsidR="00814B96" w:rsidRPr="00820104" w:rsidRDefault="00707CA0" w:rsidP="00503B7C">
      <w:pPr>
        <w:jc w:val="both"/>
        <w:rPr>
          <w:rFonts w:eastAsia="Arial Unicode MS"/>
          <w:sz w:val="24"/>
          <w:szCs w:val="24"/>
        </w:rPr>
      </w:pPr>
      <w:r w:rsidRPr="00820104">
        <w:rPr>
          <w:rFonts w:eastAsia="Arial Unicode MS"/>
          <w:sz w:val="24"/>
          <w:szCs w:val="24"/>
        </w:rPr>
        <w:t xml:space="preserve">Если у пациента развилась серьезная нежелательная реакция, такая как синдром Стивенса-Джонсона или лекарственная реакция c эозинофилией и системными симптомами при применении 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820104">
        <w:rPr>
          <w:rFonts w:eastAsia="Arial Unicode MS"/>
          <w:sz w:val="24"/>
          <w:szCs w:val="24"/>
        </w:rPr>
        <w:t xml:space="preserve">, терапию препаратом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820104">
        <w:rPr>
          <w:rFonts w:eastAsia="Arial Unicode MS"/>
          <w:sz w:val="24"/>
          <w:szCs w:val="24"/>
        </w:rPr>
        <w:t xml:space="preserve"> на постоянной основе у данного пациента следует отменить.  </w:t>
      </w:r>
    </w:p>
    <w:p w:rsidR="00C417F6" w:rsidRPr="00503B7C" w:rsidRDefault="00C417F6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lastRenderedPageBreak/>
        <w:t>Воздействие на печень</w:t>
      </w:r>
    </w:p>
    <w:p w:rsidR="00184DD8" w:rsidRPr="00503B7C" w:rsidRDefault="009E6C3F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Как и в случае других ингибиторов ГМГ-КоА-редуктазы, пациенты, употребляющие чрезмерное количество алкоголя и/или имеющие в анамнезе заболевание печени, должны принимать препарат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с осторожностью. </w:t>
      </w:r>
      <w:r w:rsidR="00C417F6" w:rsidRPr="00503B7C">
        <w:rPr>
          <w:rFonts w:eastAsia="Arial Unicode MS"/>
          <w:sz w:val="24"/>
          <w:szCs w:val="24"/>
        </w:rPr>
        <w:t xml:space="preserve">Рекомендуется проводить определение показателей функции печени до начала терапии и через 3 месяца после начала терапии. Прием </w:t>
      </w:r>
      <w:r w:rsidR="00427861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C417F6" w:rsidRPr="00503B7C">
        <w:rPr>
          <w:rFonts w:eastAsia="Arial Unicode MS"/>
          <w:sz w:val="24"/>
          <w:szCs w:val="24"/>
        </w:rPr>
        <w:t xml:space="preserve"> следует прекратить или уменьшить </w:t>
      </w:r>
      <w:r w:rsidR="00427861" w:rsidRPr="00503B7C">
        <w:rPr>
          <w:rFonts w:eastAsia="Arial Unicode MS"/>
          <w:sz w:val="24"/>
          <w:szCs w:val="24"/>
        </w:rPr>
        <w:t xml:space="preserve">его </w:t>
      </w:r>
      <w:r w:rsidR="00C417F6" w:rsidRPr="00503B7C">
        <w:rPr>
          <w:rFonts w:eastAsia="Arial Unicode MS"/>
          <w:sz w:val="24"/>
          <w:szCs w:val="24"/>
        </w:rPr>
        <w:t xml:space="preserve">дозу, если уровень активности трансаминаз сыворотки крови в 3 раза превышает верхнюю границу нормы. </w:t>
      </w:r>
      <w:r w:rsidR="00840550" w:rsidRPr="00503B7C">
        <w:rPr>
          <w:rFonts w:eastAsia="Arial Unicode MS"/>
          <w:sz w:val="24"/>
          <w:szCs w:val="24"/>
        </w:rPr>
        <w:t>Частота</w:t>
      </w:r>
      <w:r w:rsidR="0048782B" w:rsidRPr="00503B7C">
        <w:rPr>
          <w:rFonts w:eastAsia="Arial Unicode MS"/>
          <w:sz w:val="24"/>
          <w:szCs w:val="24"/>
        </w:rPr>
        <w:t xml:space="preserve"> выявления случаев серьезных нарушен</w:t>
      </w:r>
      <w:r w:rsidR="00B6456A" w:rsidRPr="00503B7C">
        <w:rPr>
          <w:rFonts w:eastAsia="Arial Unicode MS"/>
          <w:sz w:val="24"/>
          <w:szCs w:val="24"/>
        </w:rPr>
        <w:t>и</w:t>
      </w:r>
      <w:r w:rsidR="0048782B" w:rsidRPr="00503B7C">
        <w:rPr>
          <w:rFonts w:eastAsia="Arial Unicode MS"/>
          <w:sz w:val="24"/>
          <w:szCs w:val="24"/>
        </w:rPr>
        <w:t>й функции печени (включая в основном повышение уровня трансаминаз) выше при приеме дозы 40 мг.</w:t>
      </w:r>
      <w:r w:rsidR="00A263AF">
        <w:rPr>
          <w:rFonts w:eastAsia="Arial Unicode MS"/>
          <w:sz w:val="24"/>
          <w:szCs w:val="24"/>
        </w:rPr>
        <w:t xml:space="preserve"> </w:t>
      </w:r>
      <w:r w:rsidR="00C417F6" w:rsidRPr="00503B7C">
        <w:rPr>
          <w:rFonts w:eastAsia="Arial Unicode MS"/>
          <w:sz w:val="24"/>
          <w:szCs w:val="24"/>
        </w:rPr>
        <w:t xml:space="preserve">У пациентов с гиперхолестеринемией вследствие гипотиреоза или нефротического синдрома терапия основных заболеваний должна проводиться до начала лечения </w:t>
      </w:r>
      <w:r w:rsidR="00840550" w:rsidRPr="00503B7C">
        <w:rPr>
          <w:rFonts w:eastAsia="Arial Unicode MS"/>
          <w:sz w:val="24"/>
          <w:szCs w:val="24"/>
        </w:rPr>
        <w:t xml:space="preserve">препаратом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C417F6" w:rsidRPr="00503B7C">
        <w:rPr>
          <w:rFonts w:eastAsia="Arial Unicode MS"/>
          <w:sz w:val="24"/>
          <w:szCs w:val="24"/>
        </w:rPr>
        <w:t>.</w:t>
      </w:r>
    </w:p>
    <w:p w:rsidR="00273D64" w:rsidRPr="00503B7C" w:rsidRDefault="00273D64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Этнические группы</w:t>
      </w:r>
    </w:p>
    <w:p w:rsidR="00184DD8" w:rsidRPr="00503B7C" w:rsidRDefault="00273D64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В ходе фармакокинетических исследований отмечено увеличение воздействия  розувастатина на монголоидную расу выше, чем на европеоидную. </w:t>
      </w:r>
    </w:p>
    <w:p w:rsidR="00071FB2" w:rsidRPr="00503B7C" w:rsidRDefault="00ED3059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Ингибиторы протеазы</w:t>
      </w:r>
    </w:p>
    <w:p w:rsidR="00071FB2" w:rsidRPr="00503B7C" w:rsidRDefault="00B267D2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Повышенное системное воздействие розувастатина наблюдается у пациентов, получающих </w:t>
      </w:r>
      <w:r w:rsidR="003E582D" w:rsidRPr="00503B7C">
        <w:rPr>
          <w:rFonts w:eastAsia="Arial Unicode MS"/>
          <w:sz w:val="24"/>
          <w:szCs w:val="24"/>
        </w:rPr>
        <w:t>его</w:t>
      </w:r>
      <w:r w:rsidRPr="00503B7C">
        <w:rPr>
          <w:rFonts w:eastAsia="Arial Unicode MS"/>
          <w:sz w:val="24"/>
          <w:szCs w:val="24"/>
        </w:rPr>
        <w:t xml:space="preserve"> одновременно с различными ингибиторами протеаз в сочетании с ритонавиром. </w:t>
      </w:r>
      <w:r w:rsidR="003E582D" w:rsidRPr="00503B7C">
        <w:rPr>
          <w:rFonts w:eastAsia="Arial Unicode MS"/>
          <w:sz w:val="24"/>
          <w:szCs w:val="24"/>
        </w:rPr>
        <w:t xml:space="preserve">При назначении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3E582D" w:rsidRPr="00503B7C">
        <w:rPr>
          <w:rFonts w:eastAsia="Arial Unicode MS"/>
          <w:sz w:val="24"/>
          <w:szCs w:val="24"/>
        </w:rPr>
        <w:t xml:space="preserve"> пациентам с ВИЧ, принимающим ингибиторы протеазы</w:t>
      </w:r>
      <w:r w:rsidR="00B6456A" w:rsidRPr="00503B7C">
        <w:rPr>
          <w:rFonts w:eastAsia="Arial Unicode MS"/>
          <w:sz w:val="24"/>
          <w:szCs w:val="24"/>
        </w:rPr>
        <w:t>,</w:t>
      </w:r>
      <w:r w:rsidR="003E582D" w:rsidRPr="00503B7C">
        <w:rPr>
          <w:rFonts w:eastAsia="Arial Unicode MS"/>
          <w:sz w:val="24"/>
          <w:szCs w:val="24"/>
        </w:rPr>
        <w:t xml:space="preserve"> с</w:t>
      </w:r>
      <w:r w:rsidRPr="00503B7C">
        <w:rPr>
          <w:rFonts w:eastAsia="Arial Unicode MS"/>
          <w:sz w:val="24"/>
          <w:szCs w:val="24"/>
        </w:rPr>
        <w:t>ледует учитывать как пользу от снижения уровня липидов,</w:t>
      </w:r>
      <w:r w:rsidR="003E582D" w:rsidRPr="00503B7C">
        <w:rPr>
          <w:rFonts w:eastAsia="Arial Unicode MS"/>
          <w:sz w:val="24"/>
          <w:szCs w:val="24"/>
        </w:rPr>
        <w:t xml:space="preserve"> так</w:t>
      </w:r>
      <w:r w:rsidRPr="00503B7C">
        <w:rPr>
          <w:rFonts w:eastAsia="Arial Unicode MS"/>
          <w:sz w:val="24"/>
          <w:szCs w:val="24"/>
        </w:rPr>
        <w:t xml:space="preserve"> и потенциал для повышения концентрации розувастатина в плазме крови </w:t>
      </w:r>
      <w:r w:rsidR="003E582D" w:rsidRPr="00503B7C">
        <w:rPr>
          <w:rFonts w:eastAsia="Arial Unicode MS"/>
          <w:sz w:val="24"/>
          <w:szCs w:val="24"/>
        </w:rPr>
        <w:t xml:space="preserve">в </w:t>
      </w:r>
      <w:r w:rsidRPr="00503B7C">
        <w:rPr>
          <w:rFonts w:eastAsia="Arial Unicode MS"/>
          <w:sz w:val="24"/>
          <w:szCs w:val="24"/>
        </w:rPr>
        <w:t>начале и</w:t>
      </w:r>
      <w:r w:rsidR="003E582D" w:rsidRPr="00503B7C">
        <w:rPr>
          <w:rFonts w:eastAsia="Arial Unicode MS"/>
          <w:sz w:val="24"/>
          <w:szCs w:val="24"/>
        </w:rPr>
        <w:t xml:space="preserve"> при</w:t>
      </w:r>
      <w:r w:rsidRPr="00503B7C">
        <w:rPr>
          <w:rFonts w:eastAsia="Arial Unicode MS"/>
          <w:sz w:val="24"/>
          <w:szCs w:val="24"/>
        </w:rPr>
        <w:t xml:space="preserve"> титрации доз</w:t>
      </w:r>
      <w:r w:rsidR="00070828" w:rsidRPr="00503B7C">
        <w:rPr>
          <w:rFonts w:eastAsia="Arial Unicode MS"/>
          <w:sz w:val="24"/>
          <w:szCs w:val="24"/>
        </w:rPr>
        <w:t xml:space="preserve"> препарата</w:t>
      </w:r>
      <w:r w:rsidR="00535629">
        <w:rPr>
          <w:rFonts w:eastAsia="Arial Unicode MS"/>
          <w:sz w:val="24"/>
          <w:szCs w:val="24"/>
        </w:rPr>
        <w:t xml:space="preserve">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. Сопутствующий прием ингибиторов протеазы не рекомендуется, </w:t>
      </w:r>
      <w:r w:rsidR="003E582D" w:rsidRPr="00503B7C">
        <w:rPr>
          <w:rFonts w:eastAsia="Arial Unicode MS"/>
          <w:sz w:val="24"/>
          <w:szCs w:val="24"/>
        </w:rPr>
        <w:t>до тех пор</w:t>
      </w:r>
      <w:r w:rsidR="00535629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 xml:space="preserve">пока не будет выполнена корректировка дозы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3E582D" w:rsidRPr="00503B7C">
        <w:rPr>
          <w:rFonts w:eastAsia="Arial Unicode MS"/>
          <w:sz w:val="24"/>
          <w:szCs w:val="24"/>
        </w:rPr>
        <w:t>.</w:t>
      </w:r>
    </w:p>
    <w:p w:rsidR="00655A22" w:rsidRPr="00503B7C" w:rsidRDefault="00655A22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Непереносимость лактозы</w:t>
      </w:r>
    </w:p>
    <w:p w:rsidR="00184DD8" w:rsidRPr="00503B7C" w:rsidRDefault="00655A22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Пациенты с редкими наследственными заболеваниями непереносимости галактозы, </w:t>
      </w:r>
      <w:r w:rsidR="00422A27" w:rsidRPr="00422A27">
        <w:rPr>
          <w:rFonts w:eastAsia="Arial Unicode MS"/>
          <w:sz w:val="24"/>
          <w:szCs w:val="24"/>
        </w:rPr>
        <w:t>дефицитом фермента Lapp (ЛАПП)-лактазы, мальабсорбцией глюкозы-галактозы</w:t>
      </w:r>
      <w:r w:rsidR="00422A27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не должны принимать этот лекарственный препарат.</w:t>
      </w:r>
    </w:p>
    <w:p w:rsidR="00F71F7C" w:rsidRPr="00503B7C" w:rsidRDefault="00F71F7C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Интерстициальное заболевание легких</w:t>
      </w:r>
    </w:p>
    <w:p w:rsidR="00655A22" w:rsidRPr="00503B7C" w:rsidRDefault="00F71F7C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При применении статинов сообщалось о разовых случаях интерстициального заболевания легких, особенно, когда проводилась длительная терапия. Описываемые признаки могут включать одышку, сухой кашель и общее ухудшение состояния (усталость, потерю веса и лихорадку). Если имеются подозрения на развитие у пациента  интерстициального заболевания легких, терапию статинами нужно прекратить.</w:t>
      </w:r>
    </w:p>
    <w:p w:rsidR="00F71F7C" w:rsidRPr="00503B7C" w:rsidRDefault="00F71F7C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Сахарный диабет 2-го типа</w:t>
      </w:r>
    </w:p>
    <w:p w:rsidR="00F71F7C" w:rsidRPr="00503B7C" w:rsidRDefault="00F71F7C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Некоторые данные свидетельствуют о том, что статины как класс повышают уровень глюкозы в крови, </w:t>
      </w:r>
      <w:r w:rsidR="00560BF0" w:rsidRPr="00503B7C">
        <w:rPr>
          <w:rFonts w:eastAsia="Arial Unicode MS"/>
          <w:sz w:val="24"/>
          <w:szCs w:val="24"/>
        </w:rPr>
        <w:t>и</w:t>
      </w:r>
      <w:r w:rsidRPr="00503B7C">
        <w:rPr>
          <w:rFonts w:eastAsia="Arial Unicode MS"/>
          <w:sz w:val="24"/>
          <w:szCs w:val="24"/>
        </w:rPr>
        <w:t xml:space="preserve"> у некоторых пациентов, </w:t>
      </w:r>
      <w:r w:rsidR="00560BF0" w:rsidRPr="00503B7C">
        <w:rPr>
          <w:rFonts w:eastAsia="Arial Unicode MS"/>
          <w:sz w:val="24"/>
          <w:szCs w:val="24"/>
        </w:rPr>
        <w:t>увеличивают</w:t>
      </w:r>
      <w:r w:rsidRPr="00503B7C">
        <w:rPr>
          <w:rFonts w:eastAsia="Arial Unicode MS"/>
          <w:sz w:val="24"/>
          <w:szCs w:val="24"/>
        </w:rPr>
        <w:t xml:space="preserve"> риск развития диабета в будущем, может </w:t>
      </w:r>
      <w:r w:rsidR="00560BF0" w:rsidRPr="00503B7C">
        <w:rPr>
          <w:rFonts w:eastAsia="Arial Unicode MS"/>
          <w:sz w:val="24"/>
          <w:szCs w:val="24"/>
        </w:rPr>
        <w:t xml:space="preserve">возникать </w:t>
      </w:r>
      <w:r w:rsidRPr="00503B7C">
        <w:rPr>
          <w:rFonts w:eastAsia="Arial Unicode MS"/>
          <w:sz w:val="24"/>
          <w:szCs w:val="24"/>
        </w:rPr>
        <w:t>гипергликеми</w:t>
      </w:r>
      <w:r w:rsidR="00560BF0" w:rsidRPr="00503B7C">
        <w:rPr>
          <w:rFonts w:eastAsia="Arial Unicode MS"/>
          <w:sz w:val="24"/>
          <w:szCs w:val="24"/>
        </w:rPr>
        <w:t>я</w:t>
      </w:r>
      <w:r w:rsidR="00D407EE" w:rsidRPr="00503B7C">
        <w:rPr>
          <w:rFonts w:eastAsia="Arial Unicode MS"/>
          <w:sz w:val="24"/>
          <w:szCs w:val="24"/>
        </w:rPr>
        <w:t>,</w:t>
      </w:r>
      <w:r w:rsidR="00BC2F75" w:rsidRPr="00503B7C">
        <w:rPr>
          <w:rFonts w:eastAsia="Arial Unicode MS"/>
          <w:sz w:val="24"/>
          <w:szCs w:val="24"/>
        </w:rPr>
        <w:t xml:space="preserve"> когда</w:t>
      </w:r>
      <w:r w:rsidRPr="00503B7C">
        <w:rPr>
          <w:rFonts w:eastAsia="Arial Unicode MS"/>
          <w:sz w:val="24"/>
          <w:szCs w:val="24"/>
        </w:rPr>
        <w:t xml:space="preserve"> лечени</w:t>
      </w:r>
      <w:r w:rsidR="00560BF0" w:rsidRPr="00503B7C">
        <w:rPr>
          <w:rFonts w:eastAsia="Arial Unicode MS"/>
          <w:sz w:val="24"/>
          <w:szCs w:val="24"/>
        </w:rPr>
        <w:t>и</w:t>
      </w:r>
      <w:r w:rsidRPr="00503B7C">
        <w:rPr>
          <w:rFonts w:eastAsia="Arial Unicode MS"/>
          <w:sz w:val="24"/>
          <w:szCs w:val="24"/>
        </w:rPr>
        <w:t xml:space="preserve"> диабета</w:t>
      </w:r>
      <w:r w:rsidR="00BC2F75" w:rsidRPr="00503B7C">
        <w:rPr>
          <w:rFonts w:eastAsia="Arial Unicode MS"/>
          <w:sz w:val="24"/>
          <w:szCs w:val="24"/>
        </w:rPr>
        <w:t xml:space="preserve"> не инициировано</w:t>
      </w:r>
      <w:r w:rsidRPr="00503B7C">
        <w:rPr>
          <w:rFonts w:eastAsia="Arial Unicode MS"/>
          <w:sz w:val="24"/>
          <w:szCs w:val="24"/>
        </w:rPr>
        <w:t>. Однако снижение риска сосудистых заболеваний при лечении статинами превышает риск</w:t>
      </w:r>
      <w:r w:rsidR="00BC2F75" w:rsidRPr="00503B7C">
        <w:rPr>
          <w:rFonts w:eastAsia="Arial Unicode MS"/>
          <w:sz w:val="24"/>
          <w:szCs w:val="24"/>
        </w:rPr>
        <w:t xml:space="preserve"> увеличения уровня глюкозы</w:t>
      </w:r>
      <w:r w:rsidRPr="00503B7C">
        <w:rPr>
          <w:rFonts w:eastAsia="Arial Unicode MS"/>
          <w:sz w:val="24"/>
          <w:szCs w:val="24"/>
        </w:rPr>
        <w:t xml:space="preserve">, и поэтому </w:t>
      </w:r>
      <w:r w:rsidR="00BC2F75" w:rsidRPr="00503B7C">
        <w:rPr>
          <w:rFonts w:eastAsia="Arial Unicode MS"/>
          <w:sz w:val="24"/>
          <w:szCs w:val="24"/>
        </w:rPr>
        <w:t>не является</w:t>
      </w:r>
      <w:r w:rsidRPr="00503B7C">
        <w:rPr>
          <w:rFonts w:eastAsia="Arial Unicode MS"/>
          <w:sz w:val="24"/>
          <w:szCs w:val="24"/>
        </w:rPr>
        <w:t xml:space="preserve"> причиной прекращения терапии статинами. У пациентов с уровнем глюкозы в крови натощак 5,6 – 6,9 ммоль/л, лечение розувастатином связывалось с повышенным риском заболевания сахарным диабетом.</w:t>
      </w:r>
    </w:p>
    <w:p w:rsidR="00BC2F75" w:rsidRPr="00503B7C" w:rsidRDefault="00BC2F75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В рамках исследования JUPITER зарегистрированная общая частота возникновения сахарного диабета составила 2,8 % в группе с применением розувастатина и 2,3 % в группе приема плацебо, преимущественно у пациентов с показателем уровня глюкозы натощак от 5,6 до 6,9 ммоль/л.</w:t>
      </w:r>
    </w:p>
    <w:p w:rsidR="00F847E5" w:rsidRPr="00503B7C" w:rsidRDefault="00F847E5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Применение в педиатрической практике</w:t>
      </w:r>
    </w:p>
    <w:p w:rsidR="009D0B19" w:rsidRDefault="009D0B19" w:rsidP="00503B7C">
      <w:pPr>
        <w:jc w:val="both"/>
        <w:rPr>
          <w:rFonts w:eastAsia="Arial Unicode MS"/>
          <w:sz w:val="24"/>
          <w:szCs w:val="24"/>
        </w:rPr>
      </w:pPr>
      <w:r w:rsidRPr="009D0B19">
        <w:rPr>
          <w:rFonts w:eastAsia="Arial Unicode MS"/>
          <w:sz w:val="24"/>
          <w:szCs w:val="24"/>
        </w:rPr>
        <w:lastRenderedPageBreak/>
        <w:t xml:space="preserve">Эффективность и безопасность применения препарата у детей до 18 лет не установлена. При необходимости применяется </w:t>
      </w:r>
      <w:r w:rsidRPr="00082743">
        <w:rPr>
          <w:bCs/>
          <w:caps/>
          <w:sz w:val="24"/>
          <w:szCs w:val="24"/>
        </w:rPr>
        <w:t>[</w:t>
      </w:r>
      <w:r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</w:t>
      </w:r>
      <w:r w:rsidRPr="009D0B19">
        <w:rPr>
          <w:rFonts w:eastAsia="Arial Unicode MS"/>
          <w:sz w:val="24"/>
          <w:szCs w:val="24"/>
        </w:rPr>
        <w:t>в другой дозировке (5 мг).</w:t>
      </w:r>
    </w:p>
    <w:p w:rsidR="0063141C" w:rsidRPr="00503B7C" w:rsidRDefault="0063141C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Оценка линейного роста (рост), массы тела, ИМТ (индекса массы тела) и вторичных характеристик полового созревания по </w:t>
      </w:r>
      <w:r w:rsidR="00585DFD" w:rsidRPr="00503B7C">
        <w:rPr>
          <w:rFonts w:eastAsia="Arial Unicode MS"/>
          <w:sz w:val="24"/>
          <w:szCs w:val="24"/>
        </w:rPr>
        <w:t xml:space="preserve">шкале </w:t>
      </w:r>
      <w:r w:rsidRPr="00503B7C">
        <w:rPr>
          <w:rFonts w:eastAsia="Arial Unicode MS"/>
          <w:sz w:val="24"/>
          <w:szCs w:val="24"/>
        </w:rPr>
        <w:t>Таннера у детей в возрасте от 6 до 17 лет, принимающих розувастатин, ограничивается двухлетним периодом. После двух лет получения исследуемого препарата не было обнаружено никакого влияния на рост, вес, ИМТ и половое созревание.</w:t>
      </w:r>
    </w:p>
    <w:p w:rsidR="0063141C" w:rsidRPr="00503B7C" w:rsidRDefault="0063141C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В клиническом исследовании продолжительностью 52 недели с участием детей и подростков, получавших розувастатин, повышение уровня креатинкиназы (</w:t>
      </w:r>
      <w:r w:rsidR="00BE2D51" w:rsidRPr="00503B7C">
        <w:rPr>
          <w:rFonts w:eastAsia="Arial Unicode MS"/>
          <w:sz w:val="24"/>
          <w:szCs w:val="24"/>
        </w:rPr>
        <w:t>более чем в 10 раз превышает верхнюю границу нормы</w:t>
      </w:r>
      <w:r w:rsidRPr="00503B7C">
        <w:rPr>
          <w:rFonts w:eastAsia="Arial Unicode MS"/>
          <w:sz w:val="24"/>
          <w:szCs w:val="24"/>
        </w:rPr>
        <w:t>) и мышечные симптомы после упражнений или повышенной физической активности наблюдались чаще по сравнению с результатами, полученными в клинических исследованиях с участием взрослых.</w:t>
      </w:r>
    </w:p>
    <w:bookmarkEnd w:id="10"/>
    <w:p w:rsidR="00F97EC2" w:rsidRPr="00503B7C" w:rsidRDefault="00F97EC2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4.5. Взаимодействи</w:t>
      </w:r>
      <w:r w:rsidR="00C67696" w:rsidRPr="00503B7C">
        <w:rPr>
          <w:rFonts w:ascii="Times New Roman" w:hAnsi="Times New Roman" w:cs="Times New Roman"/>
          <w:b/>
          <w:sz w:val="24"/>
          <w:szCs w:val="24"/>
        </w:rPr>
        <w:t>я</w:t>
      </w:r>
      <w:r w:rsidRPr="00503B7C">
        <w:rPr>
          <w:rFonts w:ascii="Times New Roman" w:hAnsi="Times New Roman" w:cs="Times New Roman"/>
          <w:b/>
          <w:sz w:val="24"/>
          <w:szCs w:val="24"/>
        </w:rPr>
        <w:t xml:space="preserve"> с другими лекарственными препаратами и другие виды взаимодействия</w:t>
      </w:r>
    </w:p>
    <w:p w:rsidR="00856F23" w:rsidRPr="00503B7C" w:rsidRDefault="00856F23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bookmarkStart w:id="11" w:name="_Hlk33783028"/>
      <w:r w:rsidRPr="00503B7C">
        <w:rPr>
          <w:rFonts w:ascii="Times New Roman" w:hAnsi="Times New Roman" w:cs="Times New Roman"/>
          <w:sz w:val="24"/>
          <w:szCs w:val="24"/>
          <w:u w:val="single"/>
        </w:rPr>
        <w:t xml:space="preserve">Влияние других лекарственных препаратов на </w:t>
      </w:r>
      <w:r w:rsidR="00CD1A0A" w:rsidRPr="00503B7C">
        <w:rPr>
          <w:rFonts w:ascii="Times New Roman" w:hAnsi="Times New Roman" w:cs="Times New Roman"/>
          <w:sz w:val="24"/>
          <w:szCs w:val="24"/>
          <w:u w:val="single"/>
        </w:rPr>
        <w:t xml:space="preserve">воздействие </w:t>
      </w:r>
      <w:r w:rsidRPr="00503B7C">
        <w:rPr>
          <w:rFonts w:ascii="Times New Roman" w:hAnsi="Times New Roman" w:cs="Times New Roman"/>
          <w:sz w:val="24"/>
          <w:szCs w:val="24"/>
          <w:u w:val="single"/>
        </w:rPr>
        <w:t>розувастатин</w:t>
      </w:r>
      <w:r w:rsidR="00CD1A0A" w:rsidRPr="00503B7C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03B7C">
        <w:rPr>
          <w:rFonts w:ascii="Times New Roman" w:hAnsi="Times New Roman" w:cs="Times New Roman"/>
          <w:sz w:val="24"/>
          <w:szCs w:val="24"/>
          <w:u w:val="single"/>
        </w:rPr>
        <w:t xml:space="preserve"> при совместном применении</w:t>
      </w:r>
    </w:p>
    <w:p w:rsidR="00856F23" w:rsidRPr="00503B7C" w:rsidRDefault="00856F23" w:rsidP="00503B7C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 xml:space="preserve">Ингибиторы транспортеров белков </w:t>
      </w:r>
    </w:p>
    <w:p w:rsidR="00E54613" w:rsidRPr="00503B7C" w:rsidRDefault="00856F23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Розувастатин представляет собой субстрат для определенных белков транспортеров, включая транспортер печеночного захвата OATP1B1 и эффлюксный транспортер BCRP. Одновременный прием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sz w:val="24"/>
          <w:szCs w:val="24"/>
        </w:rPr>
        <w:t xml:space="preserve"> и лекарственных препаратов, являющихся ингибиторами этих белков транспортеров, может привести к повышению концентраций розувастатина в плазме крови, и повышению риска развития миопатии</w:t>
      </w:r>
      <w:r w:rsidR="00FD2698" w:rsidRPr="00503B7C">
        <w:rPr>
          <w:sz w:val="24"/>
          <w:szCs w:val="24"/>
        </w:rPr>
        <w:t>.</w:t>
      </w:r>
    </w:p>
    <w:p w:rsidR="00310E89" w:rsidRPr="00503B7C" w:rsidRDefault="00310E89" w:rsidP="00503B7C">
      <w:pPr>
        <w:jc w:val="both"/>
        <w:rPr>
          <w:rFonts w:eastAsia="Arial Unicode MS"/>
          <w:i/>
          <w:sz w:val="24"/>
          <w:szCs w:val="24"/>
          <w:u w:val="single"/>
        </w:rPr>
      </w:pPr>
      <w:r w:rsidRPr="00503B7C">
        <w:rPr>
          <w:rFonts w:eastAsia="Arial Unicode MS"/>
          <w:i/>
          <w:sz w:val="24"/>
          <w:szCs w:val="24"/>
          <w:u w:val="single"/>
        </w:rPr>
        <w:t>Циклоспорин</w:t>
      </w:r>
    </w:p>
    <w:p w:rsidR="00310E89" w:rsidRPr="00503B7C" w:rsidRDefault="00310E89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Совместное применение приводит к повышению концентрации </w:t>
      </w:r>
      <w:r w:rsidR="006252A0" w:rsidRPr="00503B7C">
        <w:rPr>
          <w:rFonts w:eastAsia="Arial Unicode MS"/>
          <w:sz w:val="24"/>
          <w:szCs w:val="24"/>
        </w:rPr>
        <w:t>розувастатина</w:t>
      </w:r>
      <w:r w:rsidR="00086D85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в плазме крови в 7 раз</w:t>
      </w:r>
      <w:r w:rsidR="00E4670B" w:rsidRPr="00503B7C">
        <w:rPr>
          <w:rFonts w:eastAsia="Arial Unicode MS"/>
          <w:sz w:val="24"/>
          <w:szCs w:val="24"/>
        </w:rPr>
        <w:t xml:space="preserve"> и н</w:t>
      </w:r>
      <w:r w:rsidRPr="00503B7C">
        <w:rPr>
          <w:rFonts w:eastAsia="Arial Unicode MS"/>
          <w:sz w:val="24"/>
          <w:szCs w:val="24"/>
        </w:rPr>
        <w:t xml:space="preserve">е влияет на плазменную концентрацию циклоспорина. </w:t>
      </w:r>
      <w:r w:rsidR="00E4670B" w:rsidRPr="00503B7C">
        <w:rPr>
          <w:rFonts w:eastAsia="Arial Unicode MS"/>
          <w:sz w:val="24"/>
          <w:szCs w:val="24"/>
        </w:rPr>
        <w:t xml:space="preserve">Препарат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="00086D85">
        <w:rPr>
          <w:bCs/>
          <w:caps/>
          <w:sz w:val="24"/>
          <w:szCs w:val="24"/>
        </w:rPr>
        <w:t xml:space="preserve"> </w:t>
      </w:r>
      <w:r w:rsidR="00E4670B" w:rsidRPr="00503B7C">
        <w:rPr>
          <w:rFonts w:eastAsia="Arial Unicode MS"/>
          <w:sz w:val="24"/>
          <w:szCs w:val="24"/>
        </w:rPr>
        <w:t>противопоказан пациентам, принимающим циклоспорин.</w:t>
      </w:r>
    </w:p>
    <w:p w:rsidR="00E4670B" w:rsidRPr="00503B7C" w:rsidRDefault="00E4670B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Ингибиторы протеаз</w:t>
      </w:r>
    </w:p>
    <w:p w:rsidR="00E4670B" w:rsidRPr="00503B7C" w:rsidRDefault="00E4670B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Несмотря на то, что точечный механизм взаимодействия не известен, совместный прием ингибиторов протеаз может приводить к значительному увеличению экспозиции розувастатина. Фармакокинетическое  исследование по одновременному применению 10 мг розувастатина с комбинированным препаратом, содержащим два ингибитора протеаз (300 мг атазанавира/100 мг ритонавира) </w:t>
      </w:r>
      <w:r w:rsidR="001E6CC1" w:rsidRPr="00503B7C">
        <w:rPr>
          <w:rFonts w:eastAsia="Arial Unicode MS"/>
          <w:sz w:val="24"/>
          <w:szCs w:val="24"/>
        </w:rPr>
        <w:t xml:space="preserve">у здоровых добровольцев приводило к приблизительно трехкратному или семикратному увеличению </w:t>
      </w:r>
      <w:r w:rsidRPr="00503B7C">
        <w:rPr>
          <w:rFonts w:eastAsia="Arial Unicode MS"/>
          <w:sz w:val="24"/>
          <w:szCs w:val="24"/>
        </w:rPr>
        <w:t>AUC (0-24) (площади под кривой «концентрация-время») и (С</w:t>
      </w:r>
      <w:r w:rsidRPr="00503B7C">
        <w:rPr>
          <w:rFonts w:eastAsia="Arial Unicode MS"/>
          <w:sz w:val="24"/>
          <w:szCs w:val="24"/>
          <w:vertAlign w:val="subscript"/>
        </w:rPr>
        <w:t>max</w:t>
      </w:r>
      <w:r w:rsidRPr="00503B7C">
        <w:rPr>
          <w:rFonts w:eastAsia="Arial Unicode MS"/>
          <w:sz w:val="24"/>
          <w:szCs w:val="24"/>
        </w:rPr>
        <w:t xml:space="preserve">) (максимальной концентрации в плазме крови) розувастатина соответственно. Совместный прием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некоторых комбинаций ингибиторов протеазы может осуществляться только после тщательного подбора дозировки препарата </w:t>
      </w:r>
      <w:r w:rsidR="00D9224A" w:rsidRPr="00082743">
        <w:rPr>
          <w:bCs/>
          <w:caps/>
          <w:sz w:val="24"/>
          <w:szCs w:val="24"/>
        </w:rPr>
        <w:t>[</w:t>
      </w:r>
      <w:r w:rsidR="00D9224A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D9224A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на основании ожидаемого увеличения воздействия розувастатина</w:t>
      </w:r>
      <w:r w:rsidR="001A3798" w:rsidRPr="00503B7C">
        <w:rPr>
          <w:rFonts w:eastAsia="Arial Unicode MS"/>
          <w:sz w:val="24"/>
          <w:szCs w:val="24"/>
        </w:rPr>
        <w:t xml:space="preserve">. </w:t>
      </w:r>
    </w:p>
    <w:p w:rsidR="00E4670B" w:rsidRPr="00503B7C" w:rsidRDefault="00A95DBE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Гемфиброзил и другие гиполипидемические препараты</w:t>
      </w:r>
    </w:p>
    <w:p w:rsidR="00974C18" w:rsidRPr="00503B7C" w:rsidRDefault="00974C18" w:rsidP="00503B7C">
      <w:pPr>
        <w:jc w:val="both"/>
        <w:rPr>
          <w:rFonts w:eastAsia="Arial Unicode MS"/>
          <w:sz w:val="24"/>
          <w:szCs w:val="24"/>
          <w:highlight w:val="green"/>
        </w:rPr>
      </w:pPr>
      <w:r w:rsidRPr="00503B7C">
        <w:rPr>
          <w:rFonts w:eastAsia="Arial Unicode MS"/>
          <w:sz w:val="24"/>
          <w:szCs w:val="24"/>
        </w:rPr>
        <w:t xml:space="preserve">Совместный прием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гемфиброзила прив</w:t>
      </w:r>
      <w:r w:rsidR="00656F7F" w:rsidRPr="00503B7C">
        <w:rPr>
          <w:rFonts w:eastAsia="Arial Unicode MS"/>
          <w:sz w:val="24"/>
          <w:szCs w:val="24"/>
        </w:rPr>
        <w:t>одил</w:t>
      </w:r>
      <w:r w:rsidRPr="00503B7C">
        <w:rPr>
          <w:rFonts w:eastAsia="Arial Unicode MS"/>
          <w:sz w:val="24"/>
          <w:szCs w:val="24"/>
        </w:rPr>
        <w:t xml:space="preserve"> к двукратному увеличению </w:t>
      </w:r>
      <w:r w:rsidRPr="00503B7C">
        <w:rPr>
          <w:rFonts w:eastAsia="Arial Unicode MS"/>
          <w:sz w:val="24"/>
          <w:szCs w:val="24"/>
          <w:lang w:val="en-US"/>
        </w:rPr>
        <w:t>C</w:t>
      </w:r>
      <w:r w:rsidRPr="00503B7C">
        <w:rPr>
          <w:rFonts w:eastAsia="Arial Unicode MS"/>
          <w:sz w:val="24"/>
          <w:szCs w:val="24"/>
          <w:vertAlign w:val="subscript"/>
          <w:lang w:val="en-US"/>
        </w:rPr>
        <w:t>max</w:t>
      </w:r>
      <w:r w:rsidRPr="00503B7C">
        <w:rPr>
          <w:rFonts w:eastAsia="Arial Unicode MS"/>
          <w:sz w:val="24"/>
          <w:szCs w:val="24"/>
        </w:rPr>
        <w:t xml:space="preserve"> и </w:t>
      </w:r>
      <w:r w:rsidRPr="00503B7C">
        <w:rPr>
          <w:rFonts w:eastAsia="Arial Unicode MS"/>
          <w:sz w:val="24"/>
          <w:szCs w:val="24"/>
          <w:lang w:val="en-US"/>
        </w:rPr>
        <w:t>AUC</w:t>
      </w:r>
      <w:r w:rsidR="00A4013D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розувастатина</w:t>
      </w:r>
      <w:r w:rsidR="001B6581" w:rsidRPr="00503B7C">
        <w:rPr>
          <w:rFonts w:eastAsia="Arial Unicode MS"/>
          <w:sz w:val="24"/>
          <w:szCs w:val="24"/>
        </w:rPr>
        <w:t>.</w:t>
      </w:r>
      <w:r w:rsidR="00086D85">
        <w:rPr>
          <w:rFonts w:eastAsia="Arial Unicode MS"/>
          <w:sz w:val="24"/>
          <w:szCs w:val="24"/>
        </w:rPr>
        <w:t xml:space="preserve"> </w:t>
      </w:r>
      <w:r w:rsidR="001B6581" w:rsidRPr="00503B7C">
        <w:rPr>
          <w:rFonts w:eastAsia="Arial Unicode MS"/>
          <w:sz w:val="24"/>
          <w:szCs w:val="24"/>
        </w:rPr>
        <w:t>На основании данных, полученных из специфичных исследований взаимодействия, никаких клинически релевантных взаимодействий с фенофибратом не ожидается, однако может иметь место фармакодинамическое взаимодействие.</w:t>
      </w:r>
    </w:p>
    <w:p w:rsidR="00E54613" w:rsidRPr="00503B7C" w:rsidRDefault="001B6581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Гемфиброзил, фенофибрат, другие фибраты и гиполипидемические дозы (&gt; или равные 1 г/день) ниацина (никотиновой кислоты) повышают риск развития миопатии при совместном приеме с ингибиторами </w:t>
      </w:r>
      <w:r w:rsidR="00A76D1E" w:rsidRPr="00503B7C">
        <w:rPr>
          <w:rFonts w:eastAsia="Arial Unicode MS"/>
          <w:sz w:val="24"/>
          <w:szCs w:val="24"/>
        </w:rPr>
        <w:t>ГМГ-КоА-редуктазы</w:t>
      </w:r>
      <w:r w:rsidRPr="00503B7C">
        <w:rPr>
          <w:rFonts w:eastAsia="Arial Unicode MS"/>
          <w:sz w:val="24"/>
          <w:szCs w:val="24"/>
        </w:rPr>
        <w:t xml:space="preserve">, вероятно, потому что они могут вызывать миопатию, если принимать их отдельно. Доза </w:t>
      </w:r>
      <w:r w:rsidR="00A76D1E" w:rsidRPr="00503B7C">
        <w:rPr>
          <w:rFonts w:eastAsia="Arial Unicode MS"/>
          <w:sz w:val="24"/>
          <w:szCs w:val="24"/>
        </w:rPr>
        <w:t>розувастатина</w:t>
      </w:r>
      <w:r w:rsidR="00A4013D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 xml:space="preserve">40 мг противопоказана при сопутствующем применении </w:t>
      </w:r>
      <w:r w:rsidR="00A76D1E" w:rsidRPr="00503B7C">
        <w:rPr>
          <w:rFonts w:eastAsia="Arial Unicode MS"/>
          <w:sz w:val="24"/>
          <w:szCs w:val="24"/>
        </w:rPr>
        <w:t xml:space="preserve">с </w:t>
      </w:r>
      <w:r w:rsidRPr="00503B7C">
        <w:rPr>
          <w:rFonts w:eastAsia="Arial Unicode MS"/>
          <w:sz w:val="24"/>
          <w:szCs w:val="24"/>
        </w:rPr>
        <w:t>фибрат</w:t>
      </w:r>
      <w:r w:rsidR="00A76D1E" w:rsidRPr="00503B7C">
        <w:rPr>
          <w:rFonts w:eastAsia="Arial Unicode MS"/>
          <w:sz w:val="24"/>
          <w:szCs w:val="24"/>
        </w:rPr>
        <w:t>ами</w:t>
      </w:r>
      <w:r w:rsidRPr="00503B7C">
        <w:rPr>
          <w:rFonts w:eastAsia="Arial Unicode MS"/>
          <w:sz w:val="24"/>
          <w:szCs w:val="24"/>
        </w:rPr>
        <w:t xml:space="preserve">. Начальная дозировка </w:t>
      </w:r>
      <w:r w:rsidR="00A76D1E" w:rsidRPr="00503B7C">
        <w:rPr>
          <w:rFonts w:eastAsia="Arial Unicode MS"/>
          <w:sz w:val="24"/>
          <w:szCs w:val="24"/>
        </w:rPr>
        <w:lastRenderedPageBreak/>
        <w:t>розувастатина</w:t>
      </w:r>
      <w:r w:rsidR="00A4013D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для пациентов</w:t>
      </w:r>
      <w:r w:rsidR="00A76D1E" w:rsidRPr="00503B7C">
        <w:rPr>
          <w:rFonts w:eastAsia="Arial Unicode MS"/>
          <w:sz w:val="24"/>
          <w:szCs w:val="24"/>
        </w:rPr>
        <w:t xml:space="preserve">, которым </w:t>
      </w:r>
      <w:r w:rsidR="00A73F44" w:rsidRPr="00503B7C">
        <w:rPr>
          <w:rFonts w:eastAsia="Arial Unicode MS"/>
          <w:sz w:val="24"/>
          <w:szCs w:val="24"/>
        </w:rPr>
        <w:t>все таки</w:t>
      </w:r>
      <w:r w:rsidR="00A4013D">
        <w:rPr>
          <w:rFonts w:eastAsia="Arial Unicode MS"/>
          <w:sz w:val="24"/>
          <w:szCs w:val="24"/>
        </w:rPr>
        <w:t xml:space="preserve"> </w:t>
      </w:r>
      <w:r w:rsidR="00A73F44" w:rsidRPr="00503B7C">
        <w:rPr>
          <w:rFonts w:eastAsia="Arial Unicode MS"/>
          <w:sz w:val="24"/>
          <w:szCs w:val="24"/>
        </w:rPr>
        <w:t>необходим</w:t>
      </w:r>
      <w:r w:rsidR="00A76D1E" w:rsidRPr="00503B7C">
        <w:rPr>
          <w:rFonts w:eastAsia="Arial Unicode MS"/>
          <w:sz w:val="24"/>
          <w:szCs w:val="24"/>
        </w:rPr>
        <w:t xml:space="preserve"> такой совместный прием</w:t>
      </w:r>
      <w:r w:rsidRPr="00503B7C">
        <w:rPr>
          <w:rFonts w:eastAsia="Arial Unicode MS"/>
          <w:sz w:val="24"/>
          <w:szCs w:val="24"/>
        </w:rPr>
        <w:t xml:space="preserve"> должна составлять 5 мг.</w:t>
      </w:r>
    </w:p>
    <w:p w:rsidR="004F7E44" w:rsidRPr="00503B7C" w:rsidRDefault="004F7E44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Эзетимиб</w:t>
      </w:r>
    </w:p>
    <w:p w:rsidR="00A95DBE" w:rsidRPr="00503B7C" w:rsidRDefault="004F7E44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Совместный прием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в дозе 10 мг  и эзетимиба 10 мг приводил к увеличению AUC розувастатина в 1,2 раза у пациентов с гиперхолестеринемией. Нельзя исключать фармакодинамическое взаимодействие между препаратом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эзетинимибом с точки зрения возникновения нежелательных эффектов.</w:t>
      </w:r>
    </w:p>
    <w:p w:rsidR="00BD4EBD" w:rsidRPr="00503B7C" w:rsidRDefault="00BD4EBD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Антациды</w:t>
      </w:r>
    </w:p>
    <w:p w:rsidR="00BD4EBD" w:rsidRPr="00503B7C" w:rsidRDefault="00BD4EBD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Одновременное применение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суспензий антацидов, содержащих алюминий и магния гидроксид, приводит к снижению плазменной концентрации розувастатина примерно на 50%. Данный эффект выражен слабее, если антациды применяются через 2 часа после приема розувастатина.</w:t>
      </w:r>
    </w:p>
    <w:p w:rsidR="002B7E22" w:rsidRPr="00503B7C" w:rsidRDefault="002B7E22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Эритромицин</w:t>
      </w:r>
    </w:p>
    <w:p w:rsidR="00A95DBE" w:rsidRPr="00503B7C" w:rsidRDefault="002B7E22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Одновременное применение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эритромицина приводит к уменьшению AUC (0 – t) розувастатина на 20 % и С</w:t>
      </w:r>
      <w:r w:rsidRPr="00503B7C">
        <w:rPr>
          <w:rFonts w:eastAsia="Arial Unicode MS"/>
          <w:sz w:val="24"/>
          <w:szCs w:val="24"/>
          <w:vertAlign w:val="subscript"/>
        </w:rPr>
        <w:t>max</w:t>
      </w:r>
      <w:r w:rsidR="009A3891">
        <w:rPr>
          <w:rFonts w:eastAsia="Arial Unicode MS"/>
          <w:sz w:val="24"/>
          <w:szCs w:val="24"/>
          <w:vertAlign w:val="subscript"/>
        </w:rPr>
        <w:t xml:space="preserve"> </w:t>
      </w:r>
      <w:r w:rsidRPr="00503B7C">
        <w:rPr>
          <w:rFonts w:eastAsia="Arial Unicode MS"/>
          <w:sz w:val="24"/>
          <w:szCs w:val="24"/>
        </w:rPr>
        <w:t>розувастатина на 30%. Подобное взаимодействие может возникать в результате усиления моторики кишечника, вызываемого приёмом эритромицина.</w:t>
      </w:r>
    </w:p>
    <w:p w:rsidR="00786CBD" w:rsidRPr="00503B7C" w:rsidRDefault="00786CBD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Ферменты цитохрома Р450</w:t>
      </w:r>
    </w:p>
    <w:p w:rsidR="002B7E22" w:rsidRPr="00503B7C" w:rsidRDefault="00786CBD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Розувастатин не является ни ингибитором, ни индуктором ферментов цитохрома Р450. Кроме того, розувастатин является слабым субстратом для этих ферментов. </w:t>
      </w:r>
      <w:r w:rsidR="002B75A1" w:rsidRPr="00503B7C">
        <w:rPr>
          <w:rFonts w:eastAsia="Arial Unicode MS"/>
          <w:sz w:val="24"/>
          <w:szCs w:val="24"/>
        </w:rPr>
        <w:t xml:space="preserve">Таким образом, не ожидается взаимодействия, связанного с метаболизмом цитохрома Р450. </w:t>
      </w:r>
      <w:r w:rsidRPr="00503B7C">
        <w:rPr>
          <w:rFonts w:eastAsia="Arial Unicode MS"/>
          <w:sz w:val="24"/>
          <w:szCs w:val="24"/>
        </w:rPr>
        <w:t xml:space="preserve">Не было отмечено клинически значимого взаимодействия между розувастатином, флуконазолом (ингибитором CYP2C9 и CYP3А4) и кетоконазолом (ингибитором CYP2А6 CYP3А4). </w:t>
      </w:r>
    </w:p>
    <w:p w:rsidR="00E07687" w:rsidRPr="00503B7C" w:rsidRDefault="00E07687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Взаимодействия, требующие корректировки дозы розувастатина</w:t>
      </w:r>
    </w:p>
    <w:p w:rsidR="002B7E22" w:rsidRPr="00503B7C" w:rsidRDefault="00E07687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Если есть необходимость в совместном приеме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и других лекарственных препаратов, которые усил</w:t>
      </w:r>
      <w:r w:rsidR="00CD1A0A" w:rsidRPr="00503B7C">
        <w:rPr>
          <w:rFonts w:eastAsia="Arial Unicode MS"/>
          <w:sz w:val="24"/>
          <w:szCs w:val="24"/>
        </w:rPr>
        <w:t>ивают его</w:t>
      </w:r>
      <w:r w:rsidR="009A3891">
        <w:rPr>
          <w:rFonts w:eastAsia="Arial Unicode MS"/>
          <w:sz w:val="24"/>
          <w:szCs w:val="24"/>
        </w:rPr>
        <w:t xml:space="preserve"> </w:t>
      </w:r>
      <w:r w:rsidR="00E54613" w:rsidRPr="00503B7C">
        <w:rPr>
          <w:rFonts w:eastAsia="Arial Unicode MS"/>
          <w:sz w:val="24"/>
          <w:szCs w:val="24"/>
        </w:rPr>
        <w:t>действие</w:t>
      </w:r>
      <w:r w:rsidRPr="00503B7C">
        <w:rPr>
          <w:rFonts w:eastAsia="Arial Unicode MS"/>
          <w:sz w:val="24"/>
          <w:szCs w:val="24"/>
        </w:rPr>
        <w:t xml:space="preserve">, дозировку </w:t>
      </w:r>
      <w:r w:rsidR="00CD1A0A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необходимо скорректировать. Если ожидается примерно двукратное или выше усиление воздействия </w:t>
      </w:r>
      <w:r w:rsidR="00CD1A0A" w:rsidRPr="00503B7C">
        <w:rPr>
          <w:rFonts w:eastAsia="Arial Unicode MS"/>
          <w:sz w:val="24"/>
          <w:szCs w:val="24"/>
        </w:rPr>
        <w:t xml:space="preserve">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, его начальная доза должна составлять 5 мг один раз в день. Максимальная ежедневная доза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должна быть скорректирована таким образом, чтобы ожидаемое воздействие розувастатина не превышало воздействие дозы 40 мг, принимаемо</w:t>
      </w:r>
      <w:r w:rsidR="00D407EE" w:rsidRPr="00503B7C">
        <w:rPr>
          <w:rFonts w:eastAsia="Arial Unicode MS"/>
          <w:sz w:val="24"/>
          <w:szCs w:val="24"/>
        </w:rPr>
        <w:t>й</w:t>
      </w:r>
      <w:r w:rsidRPr="00503B7C">
        <w:rPr>
          <w:rFonts w:eastAsia="Arial Unicode MS"/>
          <w:sz w:val="24"/>
          <w:szCs w:val="24"/>
        </w:rPr>
        <w:t xml:space="preserve"> без взаимодействующих лекарственных препаратов, например доза 20 мг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с </w:t>
      </w:r>
      <w:r w:rsidR="00585DFD" w:rsidRPr="00503B7C">
        <w:rPr>
          <w:rFonts w:eastAsia="Arial Unicode MS"/>
          <w:sz w:val="24"/>
          <w:szCs w:val="24"/>
        </w:rPr>
        <w:t>гемфиброзилом</w:t>
      </w:r>
      <w:r w:rsidR="009A3891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(увеличение в 1</w:t>
      </w:r>
      <w:r w:rsidR="00382048" w:rsidRPr="00503B7C">
        <w:rPr>
          <w:rFonts w:eastAsia="Arial Unicode MS"/>
          <w:sz w:val="24"/>
          <w:szCs w:val="24"/>
        </w:rPr>
        <w:t>.</w:t>
      </w:r>
      <w:r w:rsidRPr="00503B7C">
        <w:rPr>
          <w:rFonts w:eastAsia="Arial Unicode MS"/>
          <w:sz w:val="24"/>
          <w:szCs w:val="24"/>
        </w:rPr>
        <w:t>9 раза) и доза 10 мг</w:t>
      </w:r>
      <w:r w:rsidR="00CD1A0A" w:rsidRPr="00503B7C">
        <w:rPr>
          <w:rFonts w:eastAsia="Arial Unicode MS"/>
          <w:sz w:val="24"/>
          <w:szCs w:val="24"/>
        </w:rPr>
        <w:t xml:space="preserve"> препарата</w:t>
      </w:r>
      <w:r w:rsidR="009A3891">
        <w:rPr>
          <w:rFonts w:eastAsia="Arial Unicode MS"/>
          <w:sz w:val="24"/>
          <w:szCs w:val="24"/>
        </w:rPr>
        <w:t xml:space="preserve">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в сочетании с атазанавиром/ритонавиром (повышение в 3</w:t>
      </w:r>
      <w:r w:rsidR="00382048" w:rsidRPr="00503B7C">
        <w:rPr>
          <w:rFonts w:eastAsia="Arial Unicode MS"/>
          <w:sz w:val="24"/>
          <w:szCs w:val="24"/>
        </w:rPr>
        <w:t>.</w:t>
      </w:r>
      <w:r w:rsidRPr="00503B7C">
        <w:rPr>
          <w:rFonts w:eastAsia="Arial Unicode MS"/>
          <w:sz w:val="24"/>
          <w:szCs w:val="24"/>
        </w:rPr>
        <w:t>1 раза).</w:t>
      </w:r>
    </w:p>
    <w:p w:rsidR="00382048" w:rsidRPr="00503B7C" w:rsidRDefault="00382048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Если наблюдается увеличение AUC розувастатина менее чем в 2 раза, нет необходимости уменьшать начальную дозу препарата, но следует соблюдать осторожность при увеличении дозы препарата </w:t>
      </w:r>
      <w:r w:rsidR="00082743" w:rsidRPr="00082743">
        <w:rPr>
          <w:bCs/>
          <w:caps/>
          <w:sz w:val="24"/>
          <w:szCs w:val="24"/>
        </w:rPr>
        <w:t>[</w:t>
      </w:r>
      <w:r w:rsidR="0008274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082743" w:rsidRPr="00082743">
        <w:rPr>
          <w:bCs/>
          <w:caps/>
          <w:sz w:val="24"/>
          <w:szCs w:val="24"/>
        </w:rPr>
        <w:t>]</w:t>
      </w:r>
      <w:r w:rsidRPr="00503B7C">
        <w:rPr>
          <w:rFonts w:eastAsia="Arial Unicode MS"/>
          <w:sz w:val="24"/>
          <w:szCs w:val="24"/>
        </w:rPr>
        <w:t xml:space="preserve"> выше 20 мг.</w:t>
      </w:r>
    </w:p>
    <w:p w:rsidR="00CD1A0A" w:rsidRPr="00503B7C" w:rsidRDefault="00CD1A0A" w:rsidP="00503B7C">
      <w:pPr>
        <w:jc w:val="both"/>
        <w:rPr>
          <w:rFonts w:eastAsia="Arial Unicode MS"/>
          <w:sz w:val="24"/>
          <w:szCs w:val="24"/>
        </w:rPr>
      </w:pPr>
    </w:p>
    <w:p w:rsidR="00CD1A0A" w:rsidRPr="00503B7C" w:rsidRDefault="00CD1A0A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Таблица 1. Влияние лекарственных препаратов на воздействие розувастатина (AUC; в порядке убывания величины)</w:t>
      </w:r>
      <w:r w:rsidR="00CB4DCE" w:rsidRPr="00503B7C">
        <w:rPr>
          <w:rFonts w:eastAsia="Arial Unicode MS"/>
          <w:i/>
          <w:sz w:val="24"/>
          <w:szCs w:val="24"/>
        </w:rPr>
        <w:t xml:space="preserve"> при совместном применении</w:t>
      </w:r>
      <w:r w:rsidRPr="00503B7C">
        <w:rPr>
          <w:rFonts w:eastAsia="Arial Unicode MS"/>
          <w:i/>
          <w:sz w:val="24"/>
          <w:szCs w:val="24"/>
        </w:rPr>
        <w:t xml:space="preserve"> из опубликованных клинических исследований</w:t>
      </w:r>
    </w:p>
    <w:p w:rsidR="00E8169B" w:rsidRPr="00503B7C" w:rsidRDefault="00E8169B" w:rsidP="00503B7C">
      <w:pPr>
        <w:jc w:val="both"/>
        <w:rPr>
          <w:rFonts w:eastAsia="Arial Unicode MS"/>
          <w:i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DE087C" w:rsidRPr="00E8169B" w:rsidTr="00B348B7">
        <w:tc>
          <w:tcPr>
            <w:tcW w:w="4644" w:type="dxa"/>
          </w:tcPr>
          <w:bookmarkEnd w:id="11"/>
          <w:p w:rsidR="00DE087C" w:rsidRPr="00E8169B" w:rsidRDefault="00DE087C" w:rsidP="00B348B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Схема дозировки </w:t>
            </w:r>
          </w:p>
          <w:p w:rsidR="00DE087C" w:rsidRPr="00E8169B" w:rsidRDefault="00DE087C" w:rsidP="00B348B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 xml:space="preserve">взаимодействующих </w:t>
            </w:r>
          </w:p>
          <w:p w:rsidR="00DE087C" w:rsidRPr="00E8169B" w:rsidRDefault="00DE087C" w:rsidP="00B348B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>лекарственных препаратов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>Схема дозировки розувастатина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>Изменения в AUC* розувастатина</w:t>
            </w:r>
          </w:p>
        </w:tc>
      </w:tr>
      <w:tr w:rsidR="00DE087C" w:rsidRPr="00E8169B" w:rsidTr="00B348B7">
        <w:tc>
          <w:tcPr>
            <w:tcW w:w="9180" w:type="dxa"/>
            <w:gridSpan w:val="3"/>
          </w:tcPr>
          <w:p w:rsidR="00DE087C" w:rsidRPr="00E8169B" w:rsidRDefault="00DE087C" w:rsidP="00B348B7">
            <w:pPr>
              <w:keepNext/>
              <w:outlineLvl w:val="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b/>
                <w:sz w:val="24"/>
                <w:szCs w:val="24"/>
                <w:lang w:eastAsia="en-US"/>
              </w:rPr>
              <w:t>Двукратное увеличение AUC розувастатина или более</w:t>
            </w:r>
          </w:p>
        </w:tc>
      </w:tr>
      <w:tr w:rsidR="00DE087C" w:rsidRPr="00E8169B" w:rsidTr="00B348B7">
        <w:tc>
          <w:tcPr>
            <w:tcW w:w="4644" w:type="dxa"/>
          </w:tcPr>
          <w:p w:rsidR="00DE087C" w:rsidRPr="00E8169B" w:rsidRDefault="00DE087C" w:rsidP="00B348B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Софосбувир/велпатасвир/воксилапревир (400 мг-100 мг-100 мг) + воксилапревир (100 мг) 1 р/д в течение 15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7.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</w:tc>
      </w:tr>
      <w:tr w:rsidR="00DE087C" w:rsidRPr="00E8169B" w:rsidTr="00B348B7">
        <w:tc>
          <w:tcPr>
            <w:tcW w:w="4644" w:type="dxa"/>
          </w:tcPr>
          <w:p w:rsidR="00DE087C" w:rsidRPr="00E8169B" w:rsidRDefault="00DE087C" w:rsidP="00B348B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lastRenderedPageBreak/>
              <w:t>Циклоспорин 75 мг 2 р/д до 200 мг 2 р/д, 6 месяцев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 1 р/д, 10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7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1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</w:tc>
      </w:tr>
      <w:tr w:rsidR="00DE087C" w:rsidRPr="00E8169B" w:rsidTr="00B348B7">
        <w:tc>
          <w:tcPr>
            <w:tcW w:w="4644" w:type="dxa"/>
          </w:tcPr>
          <w:p w:rsidR="00DE087C" w:rsidRPr="00E8169B" w:rsidRDefault="00DE087C" w:rsidP="00B348B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Даролутамид 600 мг 2 р/д, 5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5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5.2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20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Регорафениб 160 мг 1 р/д, 14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5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3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8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87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Атазанавир 300 мг/ ритонавир 100 мг 1 р/д, 8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3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1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19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Велпатасвир 100 мг 1 р/д</w:t>
            </w:r>
          </w:p>
          <w:p w:rsidR="00DE087C" w:rsidRPr="00E8169B" w:rsidRDefault="00DE087C" w:rsidP="00B348B7">
            <w:pPr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2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7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981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Омбитасвир 25 мг/паритапревир 150 мг/ритонавир 100 мг 1 р/день /дасабувир 400 мг 2 р/д, 14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5 мг, однократная доза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2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6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735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Гразопревир 200 мг /эльбасвир 50 мг 1 р/д, 11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2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3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1063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Глекапревир 400 мг /пибрентасвир 120 мг один раз в день, 7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5 мг, 1 р/д, 7 дней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2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2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81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Лопинавир 400 мг /ритонавир 100 мг два раза в день, 17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20 мг 1 р/д, 7 дней</w:t>
            </w: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2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>1 раза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960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Клопидогрела нагрузочная доза 300 мг, затем 75 мг через 24 часа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20 мг, однократная доза</w:t>
            </w: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В 2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704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Гемфиброзил 600 мг 2 р/д, 7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80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9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415"/>
        </w:trPr>
        <w:tc>
          <w:tcPr>
            <w:tcW w:w="9180" w:type="dxa"/>
            <w:gridSpan w:val="3"/>
          </w:tcPr>
          <w:p w:rsidR="00DE087C" w:rsidRPr="00E8169B" w:rsidRDefault="00DE087C" w:rsidP="00B348B7">
            <w:pPr>
              <w:keepNext/>
              <w:outlineLvl w:val="3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8169B">
              <w:rPr>
                <w:b/>
                <w:bCs/>
                <w:sz w:val="24"/>
                <w:szCs w:val="24"/>
              </w:rPr>
              <w:t>Увеличение AUC розувастатина менее чем в 2 раза</w:t>
            </w:r>
          </w:p>
        </w:tc>
      </w:tr>
      <w:tr w:rsidR="00DE087C" w:rsidRPr="00E8169B" w:rsidTr="00B348B7">
        <w:trPr>
          <w:trHeight w:val="701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Элтромбопаг 75 мг 1 р/д, 5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6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97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Дарунавир 600 мг /ритонавир 100 мг 2 р/д, 7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 1 р/д, 7 дней</w:t>
            </w: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5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92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Типранавир 500 мг /ритонавир 200 мг 2 р/д, 11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4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E087C" w:rsidRPr="00E8169B" w:rsidTr="00B348B7">
        <w:trPr>
          <w:trHeight w:val="652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Дронедарон 400 мг 1 р/д, 5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Недоступно</w:t>
            </w:r>
          </w:p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4 раза </w:t>
            </w:r>
            <w:r w:rsidRPr="00E8169B">
              <w:rPr>
                <w:rFonts w:ascii="Symbol" w:hAnsi="Symbol"/>
                <w:sz w:val="24"/>
                <w:szCs w:val="24"/>
              </w:rPr>
              <w:t></w:t>
            </w:r>
          </w:p>
        </w:tc>
      </w:tr>
      <w:tr w:rsidR="00DE087C" w:rsidRPr="00E8169B" w:rsidTr="00B348B7">
        <w:trPr>
          <w:trHeight w:val="741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Итраконазол 200 мг, 1 р/д, 5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4 раза 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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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</w:t>
            </w:r>
          </w:p>
        </w:tc>
      </w:tr>
      <w:tr w:rsidR="00DE087C" w:rsidRPr="00E8169B" w:rsidTr="00B348B7">
        <w:trPr>
          <w:trHeight w:val="450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Эзетимиб 10 мг 1 р/д, 14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10 мг, 1 р/д, 14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В 1</w:t>
            </w:r>
            <w:r w:rsidRPr="00E8169B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2 раза 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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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/>
              </w:rPr>
              <w:t></w:t>
            </w:r>
          </w:p>
        </w:tc>
      </w:tr>
      <w:tr w:rsidR="00DE087C" w:rsidRPr="00E8169B" w:rsidTr="00B348B7">
        <w:trPr>
          <w:trHeight w:val="419"/>
        </w:trPr>
        <w:tc>
          <w:tcPr>
            <w:tcW w:w="9180" w:type="dxa"/>
            <w:gridSpan w:val="3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 w:bidi="en-US"/>
              </w:rPr>
            </w:pPr>
            <w:r w:rsidRPr="00E8169B">
              <w:rPr>
                <w:b/>
                <w:bCs/>
                <w:sz w:val="24"/>
                <w:szCs w:val="24"/>
              </w:rPr>
              <w:t>Снижение AUC розувастатина</w:t>
            </w:r>
          </w:p>
        </w:tc>
      </w:tr>
      <w:tr w:rsidR="00DE087C" w:rsidRPr="00E8169B" w:rsidTr="00B348B7">
        <w:trPr>
          <w:trHeight w:val="683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Эритромицин 500 мг 4 р/д, 7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80 мг, однократная 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ascii="Symbol" w:eastAsia="Calibri" w:hAnsi="Symbol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 xml:space="preserve">20 % 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 w:bidi="en-US"/>
              </w:rPr>
              <w:t></w:t>
            </w:r>
          </w:p>
        </w:tc>
      </w:tr>
      <w:tr w:rsidR="00DE087C" w:rsidRPr="00E8169B" w:rsidTr="00B348B7">
        <w:trPr>
          <w:trHeight w:val="270"/>
        </w:trPr>
        <w:tc>
          <w:tcPr>
            <w:tcW w:w="4644" w:type="dxa"/>
          </w:tcPr>
          <w:p w:rsidR="00DE087C" w:rsidRPr="00E8169B" w:rsidRDefault="00DE087C" w:rsidP="00B348B7">
            <w:pPr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>Баикалин 50 мг 3 р/д, 14 дней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ascii="Calibri" w:eastAsia="Arial Unicode MS" w:hAnsi="Calibri"/>
                <w:sz w:val="24"/>
                <w:szCs w:val="24"/>
                <w:lang w:eastAsia="en-US"/>
              </w:rPr>
            </w:pPr>
            <w:r w:rsidRPr="00E8169B">
              <w:rPr>
                <w:rFonts w:eastAsia="Calibri"/>
                <w:sz w:val="24"/>
                <w:szCs w:val="24"/>
                <w:lang w:eastAsia="en-US"/>
              </w:rPr>
              <w:t xml:space="preserve">20 мг, однократная </w:t>
            </w:r>
            <w:r w:rsidRPr="00E8169B">
              <w:rPr>
                <w:rFonts w:eastAsia="Calibri"/>
                <w:sz w:val="24"/>
                <w:szCs w:val="24"/>
                <w:lang w:eastAsia="en-US"/>
              </w:rPr>
              <w:lastRenderedPageBreak/>
              <w:t>доза</w:t>
            </w:r>
          </w:p>
        </w:tc>
        <w:tc>
          <w:tcPr>
            <w:tcW w:w="2268" w:type="dxa"/>
          </w:tcPr>
          <w:p w:rsidR="00DE087C" w:rsidRPr="00E8169B" w:rsidRDefault="00DE087C" w:rsidP="00B348B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lastRenderedPageBreak/>
              <w:t xml:space="preserve">47 % </w:t>
            </w:r>
            <w:r w:rsidRPr="00E8169B">
              <w:rPr>
                <w:rFonts w:ascii="Symbol" w:hAnsi="Symbol"/>
                <w:sz w:val="24"/>
                <w:szCs w:val="24"/>
                <w:lang w:eastAsia="en-US" w:bidi="en-US"/>
              </w:rPr>
              <w:t></w:t>
            </w:r>
          </w:p>
        </w:tc>
      </w:tr>
      <w:tr w:rsidR="00DE087C" w:rsidRPr="00E8169B" w:rsidTr="00B348B7">
        <w:tc>
          <w:tcPr>
            <w:tcW w:w="9180" w:type="dxa"/>
            <w:gridSpan w:val="3"/>
          </w:tcPr>
          <w:p w:rsidR="00DE087C" w:rsidRPr="00E8169B" w:rsidRDefault="00DE087C" w:rsidP="00B348B7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lastRenderedPageBreak/>
              <w:t>* Данные, представленные в виде x-кратного изменения, представляют собой простое соотношение между совместным приемом розувастатина с другими препаратами и приемом только одного розувастатина. Данные, представленные в виде % изменения, представляют собой процентную разницу по отношению к приему только одного  розувастатина.</w:t>
            </w:r>
          </w:p>
          <w:p w:rsidR="00DE087C" w:rsidRPr="00E8169B" w:rsidRDefault="00DE087C" w:rsidP="00B348B7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Увеличение – как  «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 w:bidi="en-US"/>
              </w:rPr>
              <w:t></w:t>
            </w: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»,</w:t>
            </w:r>
            <w:r w:rsidR="00FC01F1">
              <w:rPr>
                <w:rFonts w:eastAsia="Calibri"/>
                <w:sz w:val="24"/>
                <w:szCs w:val="24"/>
                <w:lang w:val="en-US" w:eastAsia="en-US" w:bidi="en-US"/>
              </w:rPr>
              <w:t xml:space="preserve"> </w:t>
            </w: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уменьшение — как «</w:t>
            </w:r>
            <w:r w:rsidRPr="00E8169B">
              <w:rPr>
                <w:rFonts w:ascii="Symbol" w:eastAsia="Calibri" w:hAnsi="Symbol"/>
                <w:sz w:val="24"/>
                <w:szCs w:val="24"/>
                <w:lang w:eastAsia="en-US" w:bidi="en-US"/>
              </w:rPr>
              <w:t></w:t>
            </w: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».</w:t>
            </w:r>
          </w:p>
          <w:p w:rsidR="00DE087C" w:rsidRPr="00E8169B" w:rsidRDefault="00DE087C" w:rsidP="00B348B7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 xml:space="preserve">** Проводилось несколько исследований взаимодействий при различных дозировках </w:t>
            </w:r>
            <w:r w:rsidR="00151AE7" w:rsidRPr="00151AE7">
              <w:rPr>
                <w:rFonts w:eastAsia="Calibri"/>
                <w:sz w:val="24"/>
                <w:szCs w:val="24"/>
                <w:lang w:eastAsia="en-US" w:bidi="en-US"/>
              </w:rPr>
              <w:t>розувастатина</w:t>
            </w: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, в таблице представлены наиболее значимые соотношения.</w:t>
            </w:r>
          </w:p>
          <w:p w:rsidR="00DE087C" w:rsidRPr="00E8169B" w:rsidRDefault="00DE087C" w:rsidP="00B348B7">
            <w:pPr>
              <w:widowControl w:val="0"/>
              <w:tabs>
                <w:tab w:val="left" w:pos="7832"/>
              </w:tabs>
              <w:autoSpaceDE w:val="0"/>
              <w:autoSpaceDN w:val="0"/>
              <w:ind w:left="36"/>
              <w:jc w:val="both"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E8169B">
              <w:rPr>
                <w:rFonts w:eastAsia="Calibri"/>
                <w:sz w:val="24"/>
                <w:szCs w:val="24"/>
                <w:lang w:eastAsia="en-US" w:bidi="en-US"/>
              </w:rPr>
              <w:t>AUC — площадь под фармакокинетической кривой; 1 р/д — один раз в день; 2 р/д — два раза в день; 3 р/д — три раза в день; 4 р/д — четыре раза в день.</w:t>
            </w:r>
          </w:p>
        </w:tc>
      </w:tr>
    </w:tbl>
    <w:p w:rsidR="004E22F8" w:rsidRPr="00503B7C" w:rsidRDefault="004E22F8" w:rsidP="00503B7C">
      <w:pPr>
        <w:jc w:val="both"/>
        <w:rPr>
          <w:rFonts w:eastAsia="Arial Unicode MS"/>
          <w:sz w:val="24"/>
          <w:szCs w:val="24"/>
        </w:rPr>
      </w:pPr>
    </w:p>
    <w:p w:rsidR="00EF6A83" w:rsidRPr="00503B7C" w:rsidRDefault="00EF6A83" w:rsidP="00503B7C">
      <w:pPr>
        <w:jc w:val="both"/>
        <w:rPr>
          <w:sz w:val="24"/>
          <w:szCs w:val="24"/>
        </w:rPr>
      </w:pPr>
      <w:bookmarkStart w:id="12" w:name="_Hlk54965524"/>
      <w:r w:rsidRPr="00503B7C">
        <w:rPr>
          <w:sz w:val="24"/>
          <w:szCs w:val="24"/>
        </w:rPr>
        <w:t>Следующие лекарственные препараты/комбинации не оказывали клинически значимого влияния на соотношение AUC розувастатина при одновременном применении: Алеглитазар 0.3 мг в течение 7 дней; Фенофибрат 67 мг 3 р/д в течение 7 дней; Флуконазол 200 мг 1 р/д; Фосампренавир 700 мг/ритонавир 100 мг 2 р/д в течение 8 дней; Кетоконазол 200 мг 2 р/д в течение 7 дней; Рифампин 450 мг 1 р/д в течение 7 дней; Силимарин 140 мг 3 р/д в течение 5 дней</w:t>
      </w:r>
      <w:bookmarkEnd w:id="12"/>
      <w:r w:rsidRPr="00503B7C">
        <w:rPr>
          <w:sz w:val="24"/>
          <w:szCs w:val="24"/>
        </w:rPr>
        <w:t>.</w:t>
      </w:r>
    </w:p>
    <w:p w:rsidR="0042703A" w:rsidRPr="00503B7C" w:rsidRDefault="0042703A" w:rsidP="00503B7C">
      <w:pPr>
        <w:jc w:val="both"/>
        <w:rPr>
          <w:rFonts w:eastAsia="Arial Unicode MS"/>
          <w:i/>
          <w:sz w:val="24"/>
          <w:szCs w:val="24"/>
        </w:rPr>
      </w:pPr>
    </w:p>
    <w:p w:rsidR="0042703A" w:rsidRPr="00503B7C" w:rsidRDefault="00627D55" w:rsidP="00503B7C">
      <w:pPr>
        <w:jc w:val="both"/>
        <w:rPr>
          <w:rFonts w:eastAsia="Arial Unicode MS"/>
          <w:sz w:val="24"/>
          <w:szCs w:val="24"/>
          <w:u w:val="single"/>
        </w:rPr>
      </w:pPr>
      <w:bookmarkStart w:id="13" w:name="_Hlk33791872"/>
      <w:r w:rsidRPr="00503B7C">
        <w:rPr>
          <w:rFonts w:eastAsia="Arial Unicode MS"/>
          <w:sz w:val="24"/>
          <w:szCs w:val="24"/>
          <w:u w:val="single"/>
        </w:rPr>
        <w:t>Влияние розувастатина на совместно применяемые лекарственные препараты</w:t>
      </w:r>
    </w:p>
    <w:p w:rsidR="00310E89" w:rsidRPr="00503B7C" w:rsidRDefault="00310E89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Антагонисты витамина К</w:t>
      </w:r>
    </w:p>
    <w:p w:rsidR="00310E89" w:rsidRPr="00503B7C" w:rsidRDefault="00627D55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Так</w:t>
      </w:r>
      <w:r w:rsidR="00423D96">
        <w:rPr>
          <w:rFonts w:eastAsia="Arial Unicode MS"/>
          <w:sz w:val="24"/>
          <w:szCs w:val="24"/>
        </w:rPr>
        <w:t xml:space="preserve"> </w:t>
      </w:r>
      <w:r w:rsidRPr="00503B7C">
        <w:rPr>
          <w:rFonts w:eastAsia="Arial Unicode MS"/>
          <w:sz w:val="24"/>
          <w:szCs w:val="24"/>
        </w:rPr>
        <w:t>же</w:t>
      </w:r>
      <w:r w:rsidR="00585DFD" w:rsidRPr="00503B7C">
        <w:rPr>
          <w:rFonts w:eastAsia="Arial Unicode MS"/>
          <w:sz w:val="24"/>
          <w:szCs w:val="24"/>
        </w:rPr>
        <w:t>,</w:t>
      </w:r>
      <w:r w:rsidRPr="00503B7C">
        <w:rPr>
          <w:rFonts w:eastAsia="Arial Unicode MS"/>
          <w:sz w:val="24"/>
          <w:szCs w:val="24"/>
        </w:rPr>
        <w:t xml:space="preserve"> как и в случае других ингибиторов ГМГ-КоА-редуктазы</w:t>
      </w:r>
      <w:r w:rsidR="007A1383" w:rsidRPr="00503B7C">
        <w:rPr>
          <w:rFonts w:eastAsia="Arial Unicode MS"/>
          <w:sz w:val="24"/>
          <w:szCs w:val="24"/>
        </w:rPr>
        <w:t xml:space="preserve">, </w:t>
      </w:r>
      <w:r w:rsidRPr="00503B7C">
        <w:rPr>
          <w:rFonts w:eastAsia="Arial Unicode MS"/>
          <w:sz w:val="24"/>
          <w:szCs w:val="24"/>
        </w:rPr>
        <w:t>н</w:t>
      </w:r>
      <w:r w:rsidR="00310E89" w:rsidRPr="00503B7C">
        <w:rPr>
          <w:rFonts w:eastAsia="Arial Unicode MS"/>
          <w:sz w:val="24"/>
          <w:szCs w:val="24"/>
        </w:rPr>
        <w:t xml:space="preserve">ачало терапии </w:t>
      </w:r>
      <w:r w:rsidRPr="00503B7C">
        <w:rPr>
          <w:rFonts w:eastAsia="Arial Unicode MS"/>
          <w:sz w:val="24"/>
          <w:szCs w:val="24"/>
        </w:rPr>
        <w:t xml:space="preserve">препаратом </w:t>
      </w:r>
      <w:r w:rsidR="008A3433" w:rsidRPr="00082743">
        <w:rPr>
          <w:bCs/>
          <w:caps/>
          <w:sz w:val="24"/>
          <w:szCs w:val="24"/>
        </w:rPr>
        <w:t>[</w:t>
      </w:r>
      <w:r w:rsidR="008A343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bCs/>
          <w:caps/>
          <w:sz w:val="24"/>
          <w:szCs w:val="24"/>
        </w:rPr>
        <w:t>]</w:t>
      </w:r>
      <w:r w:rsidR="00310E89" w:rsidRPr="00503B7C">
        <w:rPr>
          <w:rFonts w:eastAsia="Arial Unicode MS"/>
          <w:sz w:val="24"/>
          <w:szCs w:val="24"/>
        </w:rPr>
        <w:t xml:space="preserve"> или увеличение </w:t>
      </w:r>
      <w:r w:rsidRPr="00503B7C">
        <w:rPr>
          <w:rFonts w:eastAsia="Arial Unicode MS"/>
          <w:sz w:val="24"/>
          <w:szCs w:val="24"/>
        </w:rPr>
        <w:t xml:space="preserve">его </w:t>
      </w:r>
      <w:r w:rsidR="00310E89" w:rsidRPr="00503B7C">
        <w:rPr>
          <w:rFonts w:eastAsia="Arial Unicode MS"/>
          <w:sz w:val="24"/>
          <w:szCs w:val="24"/>
        </w:rPr>
        <w:t>дозы у пациентов, получающих одновременно антагонисты витамина К (например, варфарин</w:t>
      </w:r>
      <w:r w:rsidR="00056E58" w:rsidRPr="00503B7C">
        <w:rPr>
          <w:rFonts w:eastAsia="Arial Unicode MS"/>
          <w:sz w:val="24"/>
          <w:szCs w:val="24"/>
        </w:rPr>
        <w:t xml:space="preserve"> или другой </w:t>
      </w:r>
      <w:r w:rsidR="00585DFD" w:rsidRPr="00503B7C">
        <w:rPr>
          <w:rFonts w:eastAsia="Arial Unicode MS"/>
          <w:sz w:val="24"/>
          <w:szCs w:val="24"/>
        </w:rPr>
        <w:t xml:space="preserve">антикоагулянт </w:t>
      </w:r>
      <w:r w:rsidR="00056E58" w:rsidRPr="00503B7C">
        <w:rPr>
          <w:rFonts w:eastAsia="Arial Unicode MS"/>
          <w:sz w:val="24"/>
          <w:szCs w:val="24"/>
        </w:rPr>
        <w:t>кумаринов</w:t>
      </w:r>
      <w:r w:rsidR="00585DFD" w:rsidRPr="00503B7C">
        <w:rPr>
          <w:rFonts w:eastAsia="Arial Unicode MS"/>
          <w:sz w:val="24"/>
          <w:szCs w:val="24"/>
        </w:rPr>
        <w:t>ого ряда</w:t>
      </w:r>
      <w:r w:rsidR="00310E89" w:rsidRPr="00503B7C">
        <w:rPr>
          <w:rFonts w:eastAsia="Arial Unicode MS"/>
          <w:sz w:val="24"/>
          <w:szCs w:val="24"/>
        </w:rPr>
        <w:t>), может приводить к увеличению</w:t>
      </w:r>
      <w:r w:rsidR="00036E4D" w:rsidRPr="00503B7C">
        <w:rPr>
          <w:rFonts w:eastAsia="Arial Unicode MS"/>
          <w:sz w:val="24"/>
          <w:szCs w:val="24"/>
        </w:rPr>
        <w:t xml:space="preserve"> международного нормализованного отношения (МНО)</w:t>
      </w:r>
      <w:r w:rsidR="001C2BF0">
        <w:rPr>
          <w:rFonts w:eastAsia="Arial Unicode MS"/>
          <w:sz w:val="24"/>
          <w:szCs w:val="24"/>
        </w:rPr>
        <w:t xml:space="preserve"> </w:t>
      </w:r>
      <w:r w:rsidR="00310E89" w:rsidRPr="00503B7C">
        <w:rPr>
          <w:rFonts w:eastAsia="Arial Unicode MS"/>
          <w:sz w:val="24"/>
          <w:szCs w:val="24"/>
        </w:rPr>
        <w:t xml:space="preserve">протромбинового времени. Отмена розувастатина или снижение дозы препарата может приводить к уменьшению МНО. В таких случаях рекомендуется  </w:t>
      </w:r>
      <w:r w:rsidR="00036E4D" w:rsidRPr="00503B7C">
        <w:rPr>
          <w:rFonts w:eastAsia="Arial Unicode MS"/>
          <w:sz w:val="24"/>
          <w:szCs w:val="24"/>
        </w:rPr>
        <w:t xml:space="preserve">проводить </w:t>
      </w:r>
      <w:r w:rsidR="00310E89" w:rsidRPr="00503B7C">
        <w:rPr>
          <w:rFonts w:eastAsia="Arial Unicode MS"/>
          <w:sz w:val="24"/>
          <w:szCs w:val="24"/>
        </w:rPr>
        <w:t xml:space="preserve">мониторинг МНО.  </w:t>
      </w:r>
    </w:p>
    <w:p w:rsidR="00310E89" w:rsidRPr="00503B7C" w:rsidRDefault="00310E89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Пероральные контрацептивы/гормонозаместительная терапия</w:t>
      </w:r>
    </w:p>
    <w:p w:rsidR="00310E89" w:rsidRPr="00503B7C" w:rsidRDefault="00310E89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Одновременное применение розувастатина и пероральных контрацептивов увеличивает AUC этинилэстрадиола и AUC норгестрила на 26% и 34%, соответственно. Такое увеличение плазменной концентрации должно учитываться при подборе дозы пероральных контрацептивов. Однако подобная комбинация широко использовалась во время проведения клинических исследований и хорошо переносилась пациентами.</w:t>
      </w:r>
    </w:p>
    <w:p w:rsidR="00310E89" w:rsidRPr="00503B7C" w:rsidRDefault="00310E89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Дигоксин</w:t>
      </w:r>
    </w:p>
    <w:p w:rsidR="00310E89" w:rsidRPr="00503B7C" w:rsidRDefault="00310E89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 xml:space="preserve">Не ожидается клинически значимого взаимодействия розувастатина с дигоксином. </w:t>
      </w:r>
    </w:p>
    <w:p w:rsidR="00BE34A2" w:rsidRPr="00503B7C" w:rsidRDefault="00BE34A2" w:rsidP="00503B7C">
      <w:pPr>
        <w:jc w:val="both"/>
        <w:rPr>
          <w:rFonts w:eastAsia="Arial Unicode MS"/>
          <w:i/>
          <w:sz w:val="24"/>
          <w:szCs w:val="24"/>
        </w:rPr>
      </w:pPr>
      <w:r w:rsidRPr="00503B7C">
        <w:rPr>
          <w:rFonts w:eastAsia="Arial Unicode MS"/>
          <w:i/>
          <w:sz w:val="24"/>
          <w:szCs w:val="24"/>
        </w:rPr>
        <w:t>Фу</w:t>
      </w:r>
      <w:r w:rsidR="006D7BA7" w:rsidRPr="00503B7C">
        <w:rPr>
          <w:rFonts w:eastAsia="Arial Unicode MS"/>
          <w:i/>
          <w:sz w:val="24"/>
          <w:szCs w:val="24"/>
        </w:rPr>
        <w:t>з</w:t>
      </w:r>
      <w:r w:rsidRPr="00503B7C">
        <w:rPr>
          <w:rFonts w:eastAsia="Arial Unicode MS"/>
          <w:i/>
          <w:sz w:val="24"/>
          <w:szCs w:val="24"/>
        </w:rPr>
        <w:t>идовая кислота</w:t>
      </w:r>
    </w:p>
    <w:p w:rsidR="00BE34A2" w:rsidRPr="00503B7C" w:rsidRDefault="00BE34A2" w:rsidP="00503B7C">
      <w:pPr>
        <w:jc w:val="both"/>
        <w:rPr>
          <w:rFonts w:eastAsia="Arial Unicode MS"/>
          <w:sz w:val="24"/>
          <w:szCs w:val="24"/>
        </w:rPr>
      </w:pPr>
      <w:r w:rsidRPr="00503B7C">
        <w:rPr>
          <w:rFonts w:eastAsia="Arial Unicode MS"/>
          <w:sz w:val="24"/>
          <w:szCs w:val="24"/>
        </w:rPr>
        <w:t>Исследования взаимодействия между розувастатином и фу</w:t>
      </w:r>
      <w:r w:rsidR="006D7BA7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кислотой не проводились. Риск миопатии, включая рабдомиолиз, может быть увеличен при одновременном приеме препаратов фу</w:t>
      </w:r>
      <w:r w:rsidR="006D7BA7" w:rsidRPr="00503B7C">
        <w:rPr>
          <w:rFonts w:eastAsia="Arial Unicode MS"/>
          <w:sz w:val="24"/>
          <w:szCs w:val="24"/>
        </w:rPr>
        <w:t>з</w:t>
      </w:r>
      <w:r w:rsidRPr="00503B7C">
        <w:rPr>
          <w:rFonts w:eastAsia="Arial Unicode MS"/>
          <w:sz w:val="24"/>
          <w:szCs w:val="24"/>
        </w:rPr>
        <w:t>идовой кислоты  системного действия со статинами. Механизм данного взаимодействия (фармакодинамический, или фармакокинетический, или оба) на текущий момент неизвестен. Были зафиксированы сообщения о рабдомиолизе (включая несколько случаев с летальным исходом) у пациентов, принимавших данную комбинацию.</w:t>
      </w:r>
    </w:p>
    <w:p w:rsidR="00F72DE9" w:rsidRPr="00503B7C" w:rsidRDefault="00BE34A2" w:rsidP="00503B7C">
      <w:pPr>
        <w:pStyle w:val="ConsPlusNormal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  <w:r w:rsidRPr="00503B7C">
        <w:rPr>
          <w:rFonts w:ascii="Times New Roman" w:eastAsia="Arial Unicode MS" w:hAnsi="Times New Roman" w:cs="Times New Roman"/>
          <w:sz w:val="24"/>
          <w:szCs w:val="24"/>
        </w:rPr>
        <w:t>Если требуется лечение фу</w:t>
      </w:r>
      <w:r w:rsidR="006D7BA7" w:rsidRPr="00503B7C"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503B7C">
        <w:rPr>
          <w:rFonts w:ascii="Times New Roman" w:eastAsia="Arial Unicode MS" w:hAnsi="Times New Roman" w:cs="Times New Roman"/>
          <w:sz w:val="24"/>
          <w:szCs w:val="24"/>
        </w:rPr>
        <w:t>идовой кислотой системн</w:t>
      </w:r>
      <w:r w:rsidR="00CC6012" w:rsidRPr="00503B7C">
        <w:rPr>
          <w:rFonts w:ascii="Times New Roman" w:eastAsia="Arial Unicode MS" w:hAnsi="Times New Roman" w:cs="Times New Roman"/>
          <w:sz w:val="24"/>
          <w:szCs w:val="24"/>
        </w:rPr>
        <w:t>ого действия</w:t>
      </w:r>
      <w:r w:rsidRPr="00503B7C">
        <w:rPr>
          <w:rFonts w:ascii="Times New Roman" w:eastAsia="Arial Unicode MS" w:hAnsi="Times New Roman" w:cs="Times New Roman"/>
          <w:sz w:val="24"/>
          <w:szCs w:val="24"/>
        </w:rPr>
        <w:t xml:space="preserve">, лечение </w:t>
      </w:r>
      <w:bookmarkStart w:id="14" w:name="_Hlk33791964"/>
      <w:bookmarkEnd w:id="13"/>
      <w:r w:rsidR="00CC6012" w:rsidRPr="00503B7C">
        <w:rPr>
          <w:rFonts w:ascii="Times New Roman" w:eastAsia="Arial Unicode MS" w:hAnsi="Times New Roman" w:cs="Times New Roman"/>
          <w:sz w:val="24"/>
          <w:szCs w:val="24"/>
        </w:rPr>
        <w:t xml:space="preserve">препаратом 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3A1D4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503B7C">
        <w:rPr>
          <w:rFonts w:ascii="Times New Roman" w:eastAsia="Arial Unicode MS" w:hAnsi="Times New Roman" w:cs="Times New Roman"/>
          <w:sz w:val="24"/>
          <w:szCs w:val="24"/>
        </w:rPr>
        <w:t>должно быть прервано на время терапии фу</w:t>
      </w:r>
      <w:r w:rsidR="006D7BA7" w:rsidRPr="00503B7C"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503B7C">
        <w:rPr>
          <w:rFonts w:ascii="Times New Roman" w:eastAsia="Arial Unicode MS" w:hAnsi="Times New Roman" w:cs="Times New Roman"/>
          <w:sz w:val="24"/>
          <w:szCs w:val="24"/>
        </w:rPr>
        <w:t>идовой кислотой.</w:t>
      </w:r>
    </w:p>
    <w:bookmarkEnd w:id="14"/>
    <w:p w:rsidR="00F72DE9" w:rsidRPr="00503B7C" w:rsidRDefault="00F72DE9" w:rsidP="00503B7C">
      <w:pPr>
        <w:pStyle w:val="ConsPlusNormal"/>
        <w:jc w:val="both"/>
        <w:outlineLvl w:val="3"/>
        <w:rPr>
          <w:rFonts w:ascii="Times New Roman" w:eastAsia="Arial Unicode MS" w:hAnsi="Times New Roman" w:cs="Times New Roman"/>
          <w:sz w:val="24"/>
          <w:szCs w:val="24"/>
        </w:rPr>
      </w:pPr>
    </w:p>
    <w:p w:rsidR="00A10B0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4</w:t>
      </w:r>
      <w:r w:rsidRPr="00F42867">
        <w:rPr>
          <w:rFonts w:ascii="Times New Roman" w:hAnsi="Times New Roman" w:cs="Times New Roman"/>
          <w:b/>
          <w:sz w:val="24"/>
          <w:szCs w:val="24"/>
        </w:rPr>
        <w:t>.6. Фертильность</w:t>
      </w:r>
      <w:r w:rsidRPr="00503B7C">
        <w:rPr>
          <w:rFonts w:ascii="Times New Roman" w:hAnsi="Times New Roman" w:cs="Times New Roman"/>
          <w:b/>
          <w:sz w:val="24"/>
          <w:szCs w:val="24"/>
        </w:rPr>
        <w:t>, беременность и лактация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5" w:name="_Hlk24708748"/>
      <w:r w:rsidRPr="00503B7C">
        <w:rPr>
          <w:rFonts w:ascii="Times New Roman" w:hAnsi="Times New Roman" w:cs="Times New Roman"/>
          <w:i/>
          <w:sz w:val="24"/>
          <w:szCs w:val="24"/>
        </w:rPr>
        <w:t>Беременность</w:t>
      </w:r>
    </w:p>
    <w:p w:rsidR="00B94B51" w:rsidRPr="00503B7C" w:rsidRDefault="00F72DE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33793006"/>
      <w:r w:rsidRPr="00503B7C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F4286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противопоказан женщинам в период беременности.</w:t>
      </w:r>
      <w:bookmarkEnd w:id="16"/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lastRenderedPageBreak/>
        <w:t>Кормление грудью</w:t>
      </w:r>
    </w:p>
    <w:p w:rsidR="00F72DE9" w:rsidRPr="00503B7C" w:rsidRDefault="00F72DE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151AE7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="00F42867">
        <w:rPr>
          <w:rFonts w:ascii="Times New Roman" w:eastAsia="Times New Roman" w:hAnsi="Times New Roman" w:cs="Times New Roman"/>
          <w:bCs/>
          <w:caps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противопоказан женщинам </w:t>
      </w:r>
      <w:bookmarkStart w:id="17" w:name="_Hlk33793034"/>
      <w:r w:rsidRPr="00503B7C">
        <w:rPr>
          <w:rFonts w:ascii="Times New Roman" w:hAnsi="Times New Roman" w:cs="Times New Roman"/>
          <w:sz w:val="24"/>
          <w:szCs w:val="24"/>
        </w:rPr>
        <w:t>в период грудного вскармливания</w:t>
      </w:r>
      <w:bookmarkEnd w:id="17"/>
      <w:r w:rsidRPr="00503B7C">
        <w:rPr>
          <w:rFonts w:ascii="Times New Roman" w:hAnsi="Times New Roman" w:cs="Times New Roman"/>
          <w:sz w:val="24"/>
          <w:szCs w:val="24"/>
        </w:rPr>
        <w:t>.</w:t>
      </w:r>
    </w:p>
    <w:bookmarkEnd w:id="15"/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Фертильность</w:t>
      </w:r>
    </w:p>
    <w:p w:rsidR="003B2E60" w:rsidRPr="00503B7C" w:rsidRDefault="003B2E6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Женщины детородного возраста должны использовать соответствующие методы контрацепции.</w:t>
      </w:r>
    </w:p>
    <w:p w:rsidR="003B2E60" w:rsidRPr="00503B7C" w:rsidRDefault="003B2E6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Поскольку холестерин и другие продукты биосинтеза холестерина имеют важное значение для развития плода, потенциальный риск ингибирования ГМГ-КоА-редуктазы п</w:t>
      </w:r>
      <w:r w:rsidR="006D34DA" w:rsidRPr="00503B7C">
        <w:rPr>
          <w:rFonts w:ascii="Times New Roman" w:hAnsi="Times New Roman" w:cs="Times New Roman"/>
          <w:sz w:val="24"/>
          <w:szCs w:val="24"/>
        </w:rPr>
        <w:t>ревышае</w:t>
      </w:r>
      <w:r w:rsidRPr="00503B7C">
        <w:rPr>
          <w:rFonts w:ascii="Times New Roman" w:hAnsi="Times New Roman" w:cs="Times New Roman"/>
          <w:sz w:val="24"/>
          <w:szCs w:val="24"/>
        </w:rPr>
        <w:t xml:space="preserve">т преимущество лечения в период беременности. В ходе исследований на животных были получены убедительные доказательства токсичности для репродуктивной системы. Если </w:t>
      </w:r>
      <w:r w:rsidR="006D34DA" w:rsidRPr="00503B7C">
        <w:rPr>
          <w:rFonts w:ascii="Times New Roman" w:hAnsi="Times New Roman" w:cs="Times New Roman"/>
          <w:sz w:val="24"/>
          <w:szCs w:val="24"/>
        </w:rPr>
        <w:t>беременность наступила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во время приема данного препарата, требуется незамедлительно прекратить лечение.</w:t>
      </w:r>
    </w:p>
    <w:p w:rsidR="00F72DE9" w:rsidRPr="00503B7C" w:rsidRDefault="003B2E6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 выделяется с молоком крыс. </w:t>
      </w:r>
      <w:r w:rsidR="00B94B51" w:rsidRPr="00503B7C">
        <w:rPr>
          <w:rFonts w:ascii="Times New Roman" w:hAnsi="Times New Roman" w:cs="Times New Roman"/>
          <w:sz w:val="24"/>
          <w:szCs w:val="24"/>
        </w:rPr>
        <w:t>Нет д</w:t>
      </w:r>
      <w:r w:rsidRPr="00503B7C">
        <w:rPr>
          <w:rFonts w:ascii="Times New Roman" w:hAnsi="Times New Roman" w:cs="Times New Roman"/>
          <w:sz w:val="24"/>
          <w:szCs w:val="24"/>
        </w:rPr>
        <w:t>анны</w:t>
      </w:r>
      <w:r w:rsidR="00BF0025" w:rsidRPr="00503B7C">
        <w:rPr>
          <w:rFonts w:ascii="Times New Roman" w:hAnsi="Times New Roman" w:cs="Times New Roman"/>
          <w:sz w:val="24"/>
          <w:szCs w:val="24"/>
        </w:rPr>
        <w:t>х</w:t>
      </w:r>
      <w:r w:rsidR="00585DFD" w:rsidRPr="00503B7C">
        <w:rPr>
          <w:rFonts w:ascii="Times New Roman" w:hAnsi="Times New Roman" w:cs="Times New Roman"/>
          <w:sz w:val="24"/>
          <w:szCs w:val="24"/>
        </w:rPr>
        <w:t>,</w:t>
      </w:r>
      <w:r w:rsidR="00535629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выдел</w:t>
      </w:r>
      <w:r w:rsidR="00BF0025" w:rsidRPr="00503B7C">
        <w:rPr>
          <w:rFonts w:ascii="Times New Roman" w:hAnsi="Times New Roman" w:cs="Times New Roman"/>
          <w:sz w:val="24"/>
          <w:szCs w:val="24"/>
        </w:rPr>
        <w:t>яется ли розувастатин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 молоком</w:t>
      </w:r>
      <w:r w:rsidR="00BF0025" w:rsidRPr="00503B7C">
        <w:rPr>
          <w:rFonts w:ascii="Times New Roman" w:hAnsi="Times New Roman" w:cs="Times New Roman"/>
          <w:sz w:val="24"/>
          <w:szCs w:val="24"/>
        </w:rPr>
        <w:t xml:space="preserve"> у</w:t>
      </w:r>
      <w:r w:rsidRPr="00503B7C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7C3291" w:rsidRPr="00503B7C" w:rsidRDefault="007C3291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 xml:space="preserve">4.7. </w:t>
      </w:r>
      <w:r w:rsidR="00CE45EB" w:rsidRPr="00503B7C">
        <w:rPr>
          <w:rFonts w:ascii="Times New Roman" w:hAnsi="Times New Roman" w:cs="Times New Roman"/>
          <w:b/>
          <w:sz w:val="24"/>
          <w:szCs w:val="24"/>
        </w:rPr>
        <w:t>Влияние на способность управлять транспортными средствами и потенциально опасными механизмами</w:t>
      </w:r>
    </w:p>
    <w:p w:rsidR="00E21047" w:rsidRPr="00503B7C" w:rsidRDefault="00566A8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33793101"/>
      <w:r w:rsidRPr="00503B7C">
        <w:rPr>
          <w:rFonts w:ascii="Times New Roman" w:hAnsi="Times New Roman" w:cs="Times New Roman"/>
          <w:sz w:val="24"/>
          <w:szCs w:val="24"/>
        </w:rPr>
        <w:t>При управлении автомобилем или работе с механизмами нужно учитывать, что во время терапии может возникать головокружение.</w:t>
      </w:r>
    </w:p>
    <w:bookmarkEnd w:id="18"/>
    <w:p w:rsidR="00566A8A" w:rsidRPr="00503B7C" w:rsidRDefault="00566A8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9" w:name="Par2281"/>
      <w:bookmarkEnd w:id="19"/>
      <w:r w:rsidRPr="00503B7C">
        <w:rPr>
          <w:rFonts w:ascii="Times New Roman" w:hAnsi="Times New Roman" w:cs="Times New Roman"/>
          <w:b/>
          <w:sz w:val="24"/>
          <w:szCs w:val="24"/>
        </w:rPr>
        <w:t>4.8. Нежелательные реакции</w:t>
      </w:r>
    </w:p>
    <w:p w:rsidR="00A268C4" w:rsidRPr="00503B7C" w:rsidRDefault="00A268C4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Нежелательные явления при приеме препарата 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целом носят </w:t>
      </w:r>
      <w:r w:rsidR="008E13EF" w:rsidRPr="00503B7C">
        <w:rPr>
          <w:rFonts w:ascii="Times New Roman" w:hAnsi="Times New Roman" w:cs="Times New Roman"/>
          <w:sz w:val="24"/>
          <w:szCs w:val="24"/>
        </w:rPr>
        <w:t>легкий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временный характер. В рамках контролируемых клинических исследований менее 4 % пациентов, получавших лечение препаратом 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[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rFonts w:ascii="Times New Roman" w:eastAsia="Times New Roman" w:hAnsi="Times New Roman" w:cs="Times New Roman"/>
          <w:bCs/>
          <w:caps/>
          <w:sz w:val="24"/>
          <w:szCs w:val="24"/>
        </w:rPr>
        <w:t>]</w:t>
      </w:r>
      <w:r w:rsidRPr="00503B7C">
        <w:rPr>
          <w:rFonts w:ascii="Times New Roman" w:hAnsi="Times New Roman" w:cs="Times New Roman"/>
          <w:sz w:val="24"/>
          <w:szCs w:val="24"/>
        </w:rPr>
        <w:t>, были исключены из исследования вследствие возникновения нежелательных реакций.</w:t>
      </w:r>
    </w:p>
    <w:p w:rsidR="008E13EF" w:rsidRPr="00503B7C" w:rsidRDefault="008E13EF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sz w:val="24"/>
          <w:szCs w:val="24"/>
          <w:u w:val="single"/>
        </w:rPr>
        <w:t>Перечень нежелательных реакций в форме таблицы</w:t>
      </w:r>
    </w:p>
    <w:p w:rsidR="008E13EF" w:rsidRPr="00503B7C" w:rsidRDefault="008E13EF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таблице представлен профиль нежелательных реакций для розувастатина на основании данных, полученных из клинических исследований и пострегистрационных источников. Перечисленные ниже нежелательные реакции классифицированы согласно частоте их возникновения и классу систем органов (КСО).</w:t>
      </w:r>
    </w:p>
    <w:p w:rsidR="008E13EF" w:rsidRPr="00503B7C" w:rsidRDefault="008E13EF" w:rsidP="00503B7C">
      <w:pPr>
        <w:widowControl w:val="0"/>
        <w:autoSpaceDE w:val="0"/>
        <w:autoSpaceDN w:val="0"/>
        <w:jc w:val="both"/>
        <w:rPr>
          <w:sz w:val="24"/>
          <w:szCs w:val="24"/>
          <w:lang w:eastAsia="en-US" w:bidi="en-US"/>
        </w:rPr>
      </w:pPr>
      <w:r w:rsidRPr="00503B7C">
        <w:rPr>
          <w:sz w:val="24"/>
          <w:szCs w:val="24"/>
          <w:lang w:eastAsia="en-US" w:bidi="en-US"/>
        </w:rPr>
        <w:t xml:space="preserve">Частота возникновения нежелательных реакций ранжирована следующим образом: часто (от </w:t>
      </w:r>
      <w:r w:rsidR="00F42867" w:rsidRPr="00F42867">
        <w:rPr>
          <w:sz w:val="24"/>
          <w:szCs w:val="24"/>
          <w:lang w:eastAsia="en-US" w:bidi="en-US"/>
        </w:rPr>
        <w:t>≥</w:t>
      </w:r>
      <w:r w:rsidRPr="00503B7C">
        <w:rPr>
          <w:sz w:val="24"/>
          <w:szCs w:val="24"/>
          <w:lang w:eastAsia="en-US" w:bidi="en-US"/>
        </w:rPr>
        <w:t xml:space="preserve"> 1/100 до &lt; 1/10), нечасто (от </w:t>
      </w:r>
      <w:r w:rsidR="00F42867" w:rsidRPr="00F42867">
        <w:rPr>
          <w:sz w:val="24"/>
          <w:szCs w:val="24"/>
          <w:lang w:eastAsia="en-US" w:bidi="en-US"/>
        </w:rPr>
        <w:t>≥</w:t>
      </w:r>
      <w:r w:rsidRPr="00503B7C">
        <w:rPr>
          <w:sz w:val="24"/>
          <w:szCs w:val="24"/>
          <w:lang w:eastAsia="en-US" w:bidi="en-US"/>
        </w:rPr>
        <w:t xml:space="preserve"> 1/1000 до &lt; 1/100), редко (от </w:t>
      </w:r>
      <w:r w:rsidR="00F42867" w:rsidRPr="00F42867">
        <w:rPr>
          <w:sz w:val="24"/>
          <w:szCs w:val="24"/>
          <w:lang w:eastAsia="en-US" w:bidi="en-US"/>
        </w:rPr>
        <w:t>≥</w:t>
      </w:r>
      <w:r w:rsidRPr="00503B7C">
        <w:rPr>
          <w:sz w:val="24"/>
          <w:szCs w:val="24"/>
          <w:lang w:eastAsia="en-US" w:bidi="en-US"/>
        </w:rPr>
        <w:t xml:space="preserve"> 1/10 000 до&lt; 1/1000), очень редко (&lt; 1/10 000) и частота неизвестна (не может быть оценена на основании имеющихся данных).</w:t>
      </w:r>
    </w:p>
    <w:p w:rsidR="008E13EF" w:rsidRPr="00503B7C" w:rsidRDefault="008E13EF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E13EF" w:rsidRPr="00503B7C" w:rsidRDefault="008E13EF" w:rsidP="00503B7C">
      <w:pPr>
        <w:pStyle w:val="ConsPlusNormal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Таблица 2. Нежелательные лекарственные реакции на основании данных, полученных из клинических исследований и пострегистрационных источников</w:t>
      </w:r>
    </w:p>
    <w:p w:rsidR="001D7A68" w:rsidRPr="00503B7C" w:rsidRDefault="001D7A68" w:rsidP="00503B7C">
      <w:pPr>
        <w:pStyle w:val="a5"/>
        <w:spacing w:before="10"/>
        <w:jc w:val="both"/>
        <w:rPr>
          <w:sz w:val="24"/>
          <w:szCs w:val="24"/>
          <w:lang w:val="ru-RU"/>
        </w:rPr>
      </w:pPr>
    </w:p>
    <w:tbl>
      <w:tblPr>
        <w:tblStyle w:val="TableNormal1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387"/>
        <w:gridCol w:w="1191"/>
        <w:gridCol w:w="1711"/>
        <w:gridCol w:w="1842"/>
        <w:gridCol w:w="1560"/>
      </w:tblGrid>
      <w:tr w:rsidR="00503B7C" w:rsidRPr="00503B7C" w:rsidTr="00503B7C">
        <w:trPr>
          <w:trHeight w:val="522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b/>
                <w:sz w:val="24"/>
                <w:szCs w:val="24"/>
                <w:lang w:eastAsia="en-US" w:bidi="en-US"/>
              </w:rPr>
            </w:pPr>
            <w:r w:rsidRPr="00503B7C">
              <w:rPr>
                <w:b/>
                <w:sz w:val="24"/>
                <w:szCs w:val="24"/>
                <w:lang w:eastAsia="en-US" w:bidi="en-US"/>
              </w:rPr>
              <w:t>Класс систем-органов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spacing w:before="5"/>
              <w:rPr>
                <w:b/>
                <w:sz w:val="24"/>
                <w:szCs w:val="24"/>
                <w:lang w:eastAsia="en-US" w:bidi="en-US"/>
              </w:rPr>
            </w:pPr>
            <w:r w:rsidRPr="00503B7C">
              <w:rPr>
                <w:b/>
                <w:bCs/>
                <w:sz w:val="24"/>
                <w:szCs w:val="24"/>
                <w:lang w:eastAsia="en-US" w:bidi="en-US"/>
              </w:rPr>
              <w:t>Часто</w:t>
            </w:r>
          </w:p>
        </w:tc>
        <w:tc>
          <w:tcPr>
            <w:tcW w:w="1191" w:type="dxa"/>
          </w:tcPr>
          <w:p w:rsidR="001D7A68" w:rsidRPr="00503B7C" w:rsidRDefault="001D7A68" w:rsidP="00503B7C">
            <w:pPr>
              <w:spacing w:before="5"/>
              <w:rPr>
                <w:b/>
                <w:sz w:val="24"/>
                <w:szCs w:val="24"/>
                <w:lang w:eastAsia="en-US" w:bidi="en-US"/>
              </w:rPr>
            </w:pPr>
            <w:r w:rsidRPr="00503B7C">
              <w:rPr>
                <w:b/>
                <w:bCs/>
                <w:sz w:val="24"/>
                <w:szCs w:val="24"/>
                <w:lang w:eastAsia="en-US" w:bidi="en-US"/>
              </w:rPr>
              <w:t>Нечасто</w:t>
            </w:r>
          </w:p>
        </w:tc>
        <w:tc>
          <w:tcPr>
            <w:tcW w:w="1711" w:type="dxa"/>
          </w:tcPr>
          <w:p w:rsidR="001D7A68" w:rsidRPr="00503B7C" w:rsidRDefault="001D7A68" w:rsidP="00503B7C">
            <w:pPr>
              <w:spacing w:before="5"/>
              <w:rPr>
                <w:b/>
                <w:sz w:val="24"/>
                <w:szCs w:val="24"/>
                <w:lang w:eastAsia="en-US" w:bidi="en-US"/>
              </w:rPr>
            </w:pPr>
            <w:r w:rsidRPr="00503B7C">
              <w:rPr>
                <w:b/>
                <w:bCs/>
                <w:sz w:val="24"/>
                <w:szCs w:val="24"/>
                <w:lang w:eastAsia="en-US" w:bidi="en-US"/>
              </w:rPr>
              <w:t>Редко</w:t>
            </w:r>
          </w:p>
        </w:tc>
        <w:tc>
          <w:tcPr>
            <w:tcW w:w="1842" w:type="dxa"/>
          </w:tcPr>
          <w:p w:rsidR="001D7A68" w:rsidRPr="00503B7C" w:rsidRDefault="001D7A68" w:rsidP="00503B7C">
            <w:pPr>
              <w:spacing w:before="5"/>
              <w:rPr>
                <w:b/>
                <w:sz w:val="24"/>
                <w:szCs w:val="24"/>
                <w:lang w:eastAsia="en-US" w:bidi="en-US"/>
              </w:rPr>
            </w:pPr>
            <w:r w:rsidRPr="00503B7C">
              <w:rPr>
                <w:b/>
                <w:bCs/>
                <w:sz w:val="24"/>
                <w:szCs w:val="24"/>
                <w:lang w:eastAsia="en-US" w:bidi="en-US"/>
              </w:rPr>
              <w:t>Очень редко</w:t>
            </w:r>
          </w:p>
        </w:tc>
        <w:tc>
          <w:tcPr>
            <w:tcW w:w="1560" w:type="dxa"/>
          </w:tcPr>
          <w:p w:rsidR="001D7A68" w:rsidRPr="00503B7C" w:rsidRDefault="001D7A68" w:rsidP="00503B7C">
            <w:pPr>
              <w:spacing w:before="5"/>
              <w:rPr>
                <w:b/>
                <w:sz w:val="24"/>
                <w:szCs w:val="24"/>
                <w:lang w:eastAsia="en-US" w:bidi="en-US"/>
              </w:rPr>
            </w:pPr>
            <w:r w:rsidRPr="00503B7C">
              <w:rPr>
                <w:b/>
                <w:bCs/>
                <w:sz w:val="24"/>
                <w:szCs w:val="24"/>
                <w:lang w:eastAsia="en-US" w:bidi="en-US"/>
              </w:rPr>
              <w:t>Неизвестно</w:t>
            </w:r>
          </w:p>
        </w:tc>
      </w:tr>
      <w:tr w:rsidR="00503B7C" w:rsidRPr="00503B7C" w:rsidTr="00503B7C">
        <w:trPr>
          <w:trHeight w:val="112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t>Нарушения со стороны кровеносной и лимфатической систем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Тромбоцитопения</w:t>
            </w: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503B7C" w:rsidRPr="00503B7C" w:rsidTr="00503B7C">
        <w:trPr>
          <w:trHeight w:val="781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t>Нарушения со стороны иммунной системы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Реакции гиперчувствительности, включая ангионевротический отек</w:t>
            </w: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503B7C" w:rsidRPr="00503B7C" w:rsidTr="00503B7C">
        <w:trPr>
          <w:trHeight w:val="518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lastRenderedPageBreak/>
              <w:t>Нарушения со стороны эндокринной системы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Сахарный диабет</w:t>
            </w:r>
            <w:r w:rsidR="00537596" w:rsidRPr="00503B7C">
              <w:rPr>
                <w:sz w:val="24"/>
                <w:szCs w:val="24"/>
                <w:vertAlign w:val="superscript"/>
                <w:lang w:eastAsia="en-US" w:bidi="en-US"/>
              </w:rPr>
              <w:t>1</w:t>
            </w: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503B7C" w:rsidRPr="00503B7C" w:rsidTr="00503B7C">
        <w:trPr>
          <w:trHeight w:val="51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t>Психические расстройства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Депрессия</w:t>
            </w:r>
          </w:p>
        </w:tc>
      </w:tr>
      <w:tr w:rsidR="00503B7C" w:rsidRPr="00503B7C" w:rsidTr="00503B7C">
        <w:trPr>
          <w:trHeight w:val="649"/>
        </w:trPr>
        <w:tc>
          <w:tcPr>
            <w:tcW w:w="1949" w:type="dxa"/>
            <w:tcBorders>
              <w:bottom w:val="nil"/>
            </w:tcBorders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t>Нарушения со стороны нервной системы</w:t>
            </w:r>
          </w:p>
        </w:tc>
        <w:tc>
          <w:tcPr>
            <w:tcW w:w="1387" w:type="dxa"/>
            <w:tcBorders>
              <w:bottom w:val="nil"/>
            </w:tcBorders>
          </w:tcPr>
          <w:p w:rsidR="0041530D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Головн</w:t>
            </w:r>
            <w:r w:rsidR="00283588" w:rsidRPr="00503B7C">
              <w:rPr>
                <w:sz w:val="24"/>
                <w:szCs w:val="24"/>
                <w:lang w:eastAsia="en-US" w:bidi="en-US"/>
              </w:rPr>
              <w:t>ая</w:t>
            </w:r>
            <w:r w:rsidRPr="00503B7C">
              <w:rPr>
                <w:sz w:val="24"/>
                <w:szCs w:val="24"/>
                <w:lang w:eastAsia="en-US" w:bidi="en-US"/>
              </w:rPr>
              <w:t xml:space="preserve"> бол</w:t>
            </w:r>
            <w:r w:rsidR="00283588" w:rsidRPr="00503B7C">
              <w:rPr>
                <w:sz w:val="24"/>
                <w:szCs w:val="24"/>
                <w:lang w:eastAsia="en-US" w:bidi="en-US"/>
              </w:rPr>
              <w:t>ь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Головокруже-ние</w:t>
            </w:r>
          </w:p>
        </w:tc>
        <w:tc>
          <w:tcPr>
            <w:tcW w:w="1191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1530D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Полинейропатия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Потеря памяти</w:t>
            </w:r>
          </w:p>
        </w:tc>
        <w:tc>
          <w:tcPr>
            <w:tcW w:w="1560" w:type="dxa"/>
            <w:tcBorders>
              <w:bottom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Периферийная полинейропатия</w:t>
            </w:r>
          </w:p>
        </w:tc>
      </w:tr>
      <w:tr w:rsidR="00503B7C" w:rsidRPr="00503B7C" w:rsidTr="00503B7C">
        <w:trPr>
          <w:trHeight w:val="1418"/>
        </w:trPr>
        <w:tc>
          <w:tcPr>
            <w:tcW w:w="1949" w:type="dxa"/>
            <w:tcBorders>
              <w:top w:val="nil"/>
            </w:tcBorders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1387" w:type="dxa"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3B7C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Нарушение сна (включая бессонницу и ночные кошмары)</w:t>
            </w:r>
          </w:p>
        </w:tc>
      </w:tr>
      <w:tr w:rsidR="00503B7C" w:rsidRPr="00503B7C" w:rsidTr="00503B7C">
        <w:trPr>
          <w:trHeight w:val="261"/>
        </w:trPr>
        <w:tc>
          <w:tcPr>
            <w:tcW w:w="1949" w:type="dxa"/>
            <w:vMerge w:val="restart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t>Нарушения со стороны органов дыхания, грудной клетки и средостения</w:t>
            </w:r>
          </w:p>
        </w:tc>
        <w:tc>
          <w:tcPr>
            <w:tcW w:w="1387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vMerge w:val="restart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3B7C" w:rsidRPr="00503B7C" w:rsidRDefault="00503B7C" w:rsidP="00503B7C">
            <w:pPr>
              <w:rPr>
                <w:sz w:val="24"/>
                <w:szCs w:val="24"/>
                <w:lang w:eastAsia="en-US" w:bidi="en-US"/>
              </w:rPr>
            </w:pPr>
          </w:p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Кашель</w:t>
            </w:r>
          </w:p>
        </w:tc>
      </w:tr>
      <w:tr w:rsidR="00503B7C" w:rsidRPr="00503B7C" w:rsidTr="00503B7C">
        <w:trPr>
          <w:trHeight w:val="249"/>
        </w:trPr>
        <w:tc>
          <w:tcPr>
            <w:tcW w:w="1949" w:type="dxa"/>
            <w:vMerge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Диспноэ</w:t>
            </w:r>
          </w:p>
        </w:tc>
      </w:tr>
      <w:tr w:rsidR="00503B7C" w:rsidRPr="00503B7C" w:rsidTr="00503B7C">
        <w:trPr>
          <w:trHeight w:val="251"/>
        </w:trPr>
        <w:tc>
          <w:tcPr>
            <w:tcW w:w="1949" w:type="dxa"/>
            <w:vMerge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503B7C" w:rsidRPr="00503B7C" w:rsidTr="00503B7C">
        <w:trPr>
          <w:trHeight w:val="249"/>
        </w:trPr>
        <w:tc>
          <w:tcPr>
            <w:tcW w:w="1949" w:type="dxa"/>
            <w:vMerge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503B7C" w:rsidRPr="00503B7C" w:rsidTr="00503B7C">
        <w:trPr>
          <w:trHeight w:val="1036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t>Нарушения со стороны ЖКТ</w:t>
            </w:r>
          </w:p>
        </w:tc>
        <w:tc>
          <w:tcPr>
            <w:tcW w:w="1387" w:type="dxa"/>
          </w:tcPr>
          <w:p w:rsidR="0041530D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 xml:space="preserve">Запор Тошнота 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Боль в области живота</w:t>
            </w: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Панкреатит</w:t>
            </w: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Диарея</w:t>
            </w:r>
          </w:p>
        </w:tc>
      </w:tr>
      <w:tr w:rsidR="00503B7C" w:rsidRPr="00503B7C" w:rsidTr="00503B7C">
        <w:trPr>
          <w:trHeight w:val="522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t>Нарушения со стороны печени и желчевыводящих путей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Повышенный уровень печеночных</w:t>
            </w:r>
            <w:r w:rsidR="00F42867">
              <w:rPr>
                <w:sz w:val="24"/>
                <w:szCs w:val="24"/>
                <w:lang w:eastAsia="en-US" w:bidi="en-US"/>
              </w:rPr>
              <w:t xml:space="preserve"> </w:t>
            </w:r>
            <w:r w:rsidRPr="00503B7C">
              <w:rPr>
                <w:sz w:val="24"/>
                <w:szCs w:val="24"/>
                <w:lang w:eastAsia="en-US" w:bidi="en-US"/>
              </w:rPr>
              <w:t>трансаминаз</w:t>
            </w:r>
          </w:p>
        </w:tc>
        <w:tc>
          <w:tcPr>
            <w:tcW w:w="1842" w:type="dxa"/>
          </w:tcPr>
          <w:p w:rsidR="00F11A08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 xml:space="preserve">Желтуха 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Гепатит</w:t>
            </w: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503B7C" w:rsidRPr="00503B7C" w:rsidTr="00503B7C">
        <w:trPr>
          <w:trHeight w:val="77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t>Нарушения со стороны кожи и подкожных тканей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</w:tcPr>
          <w:p w:rsidR="0041530D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 xml:space="preserve">Зуд 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Сыпь Крапивница</w:t>
            </w: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Синдром Стивенса-Джонсона</w:t>
            </w:r>
            <w:r w:rsidR="008E6105" w:rsidRPr="00503B7C">
              <w:rPr>
                <w:sz w:val="24"/>
                <w:szCs w:val="24"/>
                <w:lang w:eastAsia="en-US" w:bidi="en-US"/>
              </w:rPr>
              <w:t xml:space="preserve">, </w:t>
            </w:r>
            <w:r w:rsidR="00992DC6" w:rsidRPr="00503B7C">
              <w:rPr>
                <w:sz w:val="24"/>
                <w:szCs w:val="24"/>
                <w:lang w:eastAsia="en-US" w:bidi="en-US"/>
              </w:rPr>
              <w:t>Лекарственные</w:t>
            </w:r>
            <w:r w:rsidR="008E6105" w:rsidRPr="00503B7C">
              <w:rPr>
                <w:sz w:val="24"/>
                <w:szCs w:val="24"/>
                <w:lang w:eastAsia="en-US" w:bidi="en-US"/>
              </w:rPr>
              <w:t xml:space="preserve"> р</w:t>
            </w:r>
            <w:r w:rsidR="008E6105" w:rsidRPr="00503B7C">
              <w:rPr>
                <w:rFonts w:eastAsia="Arial Unicode MS"/>
                <w:sz w:val="24"/>
                <w:szCs w:val="24"/>
              </w:rPr>
              <w:t>еакции c эозинофилией и системными симптомами</w:t>
            </w:r>
          </w:p>
        </w:tc>
      </w:tr>
      <w:tr w:rsidR="00503B7C" w:rsidRPr="00503B7C" w:rsidTr="00503B7C">
        <w:trPr>
          <w:trHeight w:val="51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t>Нарушения со стороны костно-мышечной и соединительной ткани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Миалги</w:t>
            </w:r>
            <w:r w:rsidR="00537596" w:rsidRPr="00503B7C">
              <w:rPr>
                <w:sz w:val="24"/>
                <w:szCs w:val="24"/>
                <w:lang w:eastAsia="en-US" w:bidi="en-US"/>
              </w:rPr>
              <w:t>и</w:t>
            </w: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Миопатия (включая миозит)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Рабдомиолиз</w:t>
            </w:r>
          </w:p>
          <w:p w:rsidR="003327C2" w:rsidRPr="00503B7C" w:rsidRDefault="003327C2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 xml:space="preserve">Волчаночноподобный синдром </w:t>
            </w:r>
          </w:p>
          <w:p w:rsidR="003327C2" w:rsidRPr="00503B7C" w:rsidRDefault="003327C2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Разрыв мышц</w:t>
            </w: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Артралгия</w:t>
            </w: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Нарушения со стороны связочного аппарата, иногда осложненные разрывом</w:t>
            </w:r>
          </w:p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Иммуно-опосредованная некротическая миопатия</w:t>
            </w:r>
          </w:p>
        </w:tc>
      </w:tr>
      <w:tr w:rsidR="00503B7C" w:rsidRPr="00503B7C" w:rsidTr="00503B7C">
        <w:trPr>
          <w:trHeight w:val="51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t xml:space="preserve">Нарушения со стороны почек и </w:t>
            </w:r>
            <w:r w:rsidRPr="00503B7C">
              <w:rPr>
                <w:i/>
                <w:sz w:val="24"/>
                <w:szCs w:val="24"/>
                <w:lang w:eastAsia="en-US" w:bidi="en-US"/>
              </w:rPr>
              <w:lastRenderedPageBreak/>
              <w:t>мочевыводящих путей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Гематурия</w:t>
            </w: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503B7C" w:rsidRPr="00503B7C" w:rsidTr="00503B7C">
        <w:trPr>
          <w:trHeight w:val="51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lastRenderedPageBreak/>
              <w:t>Нарушения со стороны репродуктивной системы и молочных желез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Гинекомастия</w:t>
            </w: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503B7C" w:rsidRPr="00503B7C" w:rsidTr="00503B7C">
        <w:trPr>
          <w:trHeight w:val="517"/>
        </w:trPr>
        <w:tc>
          <w:tcPr>
            <w:tcW w:w="1949" w:type="dxa"/>
          </w:tcPr>
          <w:p w:rsidR="001D7A68" w:rsidRPr="00503B7C" w:rsidRDefault="001D7A68" w:rsidP="00503B7C">
            <w:pPr>
              <w:rPr>
                <w:i/>
                <w:sz w:val="24"/>
                <w:szCs w:val="24"/>
                <w:lang w:eastAsia="en-US" w:bidi="en-US"/>
              </w:rPr>
            </w:pPr>
            <w:r w:rsidRPr="00503B7C">
              <w:rPr>
                <w:i/>
                <w:sz w:val="24"/>
                <w:szCs w:val="24"/>
                <w:lang w:eastAsia="en-US" w:bidi="en-US"/>
              </w:rPr>
              <w:t>Общие расстройства и нарушения в месте введения</w:t>
            </w:r>
          </w:p>
        </w:tc>
        <w:tc>
          <w:tcPr>
            <w:tcW w:w="1387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Астени</w:t>
            </w:r>
            <w:r w:rsidR="00537596" w:rsidRPr="00503B7C">
              <w:rPr>
                <w:sz w:val="24"/>
                <w:szCs w:val="24"/>
                <w:lang w:eastAsia="en-US" w:bidi="en-US"/>
              </w:rPr>
              <w:t>ческий синдром</w:t>
            </w:r>
          </w:p>
        </w:tc>
        <w:tc>
          <w:tcPr>
            <w:tcW w:w="119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11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</w:tcPr>
          <w:p w:rsidR="001D7A68" w:rsidRPr="00503B7C" w:rsidRDefault="001D7A68" w:rsidP="00503B7C">
            <w:pPr>
              <w:rPr>
                <w:sz w:val="24"/>
                <w:szCs w:val="24"/>
                <w:lang w:eastAsia="en-US" w:bidi="en-US"/>
              </w:rPr>
            </w:pPr>
            <w:r w:rsidRPr="00503B7C">
              <w:rPr>
                <w:sz w:val="24"/>
                <w:szCs w:val="24"/>
                <w:lang w:eastAsia="en-US" w:bidi="en-US"/>
              </w:rPr>
              <w:t>Отек</w:t>
            </w:r>
          </w:p>
        </w:tc>
      </w:tr>
    </w:tbl>
    <w:p w:rsidR="00B44627" w:rsidRPr="00503B7C" w:rsidRDefault="00537596" w:rsidP="00503B7C">
      <w:pPr>
        <w:spacing w:before="19"/>
        <w:ind w:right="-425"/>
        <w:jc w:val="both"/>
        <w:rPr>
          <w:sz w:val="24"/>
          <w:szCs w:val="24"/>
        </w:rPr>
      </w:pPr>
      <w:r w:rsidRPr="00503B7C">
        <w:rPr>
          <w:sz w:val="24"/>
          <w:szCs w:val="24"/>
          <w:vertAlign w:val="superscript"/>
        </w:rPr>
        <w:t xml:space="preserve">1 </w:t>
      </w:r>
      <w:r w:rsidRPr="00503B7C">
        <w:rPr>
          <w:sz w:val="24"/>
          <w:szCs w:val="24"/>
        </w:rPr>
        <w:t xml:space="preserve">Частота зависит от наличия или отсутствия факторов риска (уровень глюкозы в крови натощак </w:t>
      </w:r>
    </w:p>
    <w:p w:rsidR="00FA6835" w:rsidRPr="00503B7C" w:rsidRDefault="00537596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≥ 5,6 ммоль/л, ИМТ &gt; 30 кг/м</w:t>
      </w:r>
      <w:r w:rsidRPr="00503B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3B7C">
        <w:rPr>
          <w:rFonts w:ascii="Times New Roman" w:hAnsi="Times New Roman" w:cs="Times New Roman"/>
          <w:sz w:val="24"/>
          <w:szCs w:val="24"/>
        </w:rPr>
        <w:t>, повышенный уровень триглицеридов, гипертензия в анамнезе).</w:t>
      </w:r>
    </w:p>
    <w:p w:rsidR="00FA6835" w:rsidRPr="00503B7C" w:rsidRDefault="00FA683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22F" w:rsidRPr="00503B7C" w:rsidRDefault="007A305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Как и при применении других ингибиторов ГМГ-КоА-редуктазы, частота возникновения побочных эффектов носит дозозависимый характер.</w:t>
      </w:r>
    </w:p>
    <w:p w:rsidR="00ED722F" w:rsidRPr="00503B7C" w:rsidRDefault="00ED722F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4BC" w:rsidRPr="00503B7C" w:rsidRDefault="006554BC" w:rsidP="00503B7C">
      <w:pPr>
        <w:jc w:val="both"/>
        <w:rPr>
          <w:sz w:val="24"/>
          <w:szCs w:val="24"/>
          <w:u w:val="single"/>
        </w:rPr>
      </w:pPr>
      <w:r w:rsidRPr="00503B7C">
        <w:rPr>
          <w:sz w:val="24"/>
          <w:szCs w:val="24"/>
          <w:u w:val="single"/>
        </w:rPr>
        <w:t>Описание отдельных нежелательных реакций</w:t>
      </w:r>
    </w:p>
    <w:p w:rsidR="001243E8" w:rsidRPr="00503B7C" w:rsidRDefault="001243E8" w:rsidP="00503B7C">
      <w:pPr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>Воздействие на почки</w:t>
      </w:r>
    </w:p>
    <w:p w:rsidR="001243E8" w:rsidRPr="00503B7C" w:rsidRDefault="001243E8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Протеинурия, определяемая при помощи тест-полосок, чаще всего тубулярная, наблюдалась у пациентов, получавших препарат </w:t>
      </w:r>
      <w:r w:rsidR="008A3433" w:rsidRPr="00082743">
        <w:rPr>
          <w:bCs/>
          <w:caps/>
          <w:sz w:val="24"/>
          <w:szCs w:val="24"/>
        </w:rPr>
        <w:t>[</w:t>
      </w:r>
      <w:r w:rsidR="008A343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bCs/>
          <w:caps/>
          <w:sz w:val="24"/>
          <w:szCs w:val="24"/>
        </w:rPr>
        <w:t>]</w:t>
      </w:r>
      <w:r w:rsidRPr="00503B7C">
        <w:rPr>
          <w:sz w:val="24"/>
          <w:szCs w:val="24"/>
        </w:rPr>
        <w:t>. Изменени</w:t>
      </w:r>
      <w:r w:rsidR="00883CC6" w:rsidRPr="00503B7C">
        <w:rPr>
          <w:sz w:val="24"/>
          <w:szCs w:val="24"/>
        </w:rPr>
        <w:t xml:space="preserve">е </w:t>
      </w:r>
      <w:r w:rsidRPr="00503B7C">
        <w:rPr>
          <w:sz w:val="24"/>
          <w:szCs w:val="24"/>
        </w:rPr>
        <w:t>содержани</w:t>
      </w:r>
      <w:r w:rsidR="00883CC6" w:rsidRPr="00503B7C">
        <w:rPr>
          <w:sz w:val="24"/>
          <w:szCs w:val="24"/>
        </w:rPr>
        <w:t>я</w:t>
      </w:r>
      <w:r w:rsidRPr="00503B7C">
        <w:rPr>
          <w:sz w:val="24"/>
          <w:szCs w:val="24"/>
        </w:rPr>
        <w:t xml:space="preserve"> белка в моче с нуля или следов до ++ или более наблюдались у &lt; 1 % пациентов через некоторое время после приема 10 и 20 мг препарата и приблизительно у 3 % пациентов, получавших 40 мг препарата. Незначительное повышение с нуля или следов до + наблюдалось при приеме 20 мг препарата. В большинстве случаев протеинурия снижается или исчезает при продолжении лечения. Обзор доступных на сегодняшний день данных клинических испытаний и пос</w:t>
      </w:r>
      <w:r w:rsidR="00F85A72" w:rsidRPr="00503B7C">
        <w:rPr>
          <w:sz w:val="24"/>
          <w:szCs w:val="24"/>
        </w:rPr>
        <w:t>т</w:t>
      </w:r>
      <w:r w:rsidRPr="00503B7C">
        <w:rPr>
          <w:sz w:val="24"/>
          <w:szCs w:val="24"/>
        </w:rPr>
        <w:t xml:space="preserve">регистрационных </w:t>
      </w:r>
      <w:r w:rsidR="00F85A72" w:rsidRPr="00503B7C">
        <w:rPr>
          <w:sz w:val="24"/>
          <w:szCs w:val="24"/>
        </w:rPr>
        <w:t>наблюдений</w:t>
      </w:r>
      <w:r w:rsidRPr="00503B7C">
        <w:rPr>
          <w:sz w:val="24"/>
          <w:szCs w:val="24"/>
        </w:rPr>
        <w:t xml:space="preserve"> не выявил причинно-следственной связи между протеинурией и острым или прогрессирующим заболеванием почек.</w:t>
      </w:r>
    </w:p>
    <w:p w:rsidR="001243E8" w:rsidRPr="00503B7C" w:rsidRDefault="001243E8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У пациентов, принимавших </w:t>
      </w:r>
      <w:r w:rsidR="00F85A72" w:rsidRPr="00503B7C">
        <w:rPr>
          <w:sz w:val="24"/>
          <w:szCs w:val="24"/>
        </w:rPr>
        <w:t xml:space="preserve">препарат </w:t>
      </w:r>
      <w:r w:rsidR="008A3433" w:rsidRPr="00082743">
        <w:rPr>
          <w:bCs/>
          <w:caps/>
          <w:sz w:val="24"/>
          <w:szCs w:val="24"/>
        </w:rPr>
        <w:t>[</w:t>
      </w:r>
      <w:r w:rsidR="008A343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bCs/>
          <w:caps/>
          <w:sz w:val="24"/>
          <w:szCs w:val="24"/>
        </w:rPr>
        <w:t>]</w:t>
      </w:r>
      <w:r w:rsidRPr="00503B7C">
        <w:rPr>
          <w:sz w:val="24"/>
          <w:szCs w:val="24"/>
        </w:rPr>
        <w:t>, наблюдалась гематурия, и согласно клиническим данным, частота возникновения этого явления низкая.</w:t>
      </w:r>
    </w:p>
    <w:p w:rsidR="001243E8" w:rsidRPr="00503B7C" w:rsidRDefault="001243E8" w:rsidP="00503B7C">
      <w:pPr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 xml:space="preserve">Воздействие на </w:t>
      </w:r>
      <w:r w:rsidR="00F85A72" w:rsidRPr="00503B7C">
        <w:rPr>
          <w:i/>
          <w:sz w:val="24"/>
          <w:szCs w:val="24"/>
        </w:rPr>
        <w:t>скелетную мускулатуру</w:t>
      </w:r>
    </w:p>
    <w:p w:rsidR="001243E8" w:rsidRPr="00503B7C" w:rsidRDefault="001243E8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Сообщалось о воздействии на </w:t>
      </w:r>
      <w:r w:rsidR="00371508" w:rsidRPr="00503B7C">
        <w:rPr>
          <w:sz w:val="24"/>
          <w:szCs w:val="24"/>
        </w:rPr>
        <w:t>скелетные</w:t>
      </w:r>
      <w:r w:rsidR="00F85A72" w:rsidRPr="00503B7C">
        <w:rPr>
          <w:sz w:val="24"/>
          <w:szCs w:val="24"/>
        </w:rPr>
        <w:t xml:space="preserve"> мышцы</w:t>
      </w:r>
      <w:r w:rsidRPr="00503B7C">
        <w:rPr>
          <w:sz w:val="24"/>
          <w:szCs w:val="24"/>
        </w:rPr>
        <w:t xml:space="preserve">, в т. ч. миалгии, миопатии (включая миозит) и в редких случаях рабдомиолизе с острой почечной недостаточностью или без нее у пациентов, получавших лечение препаратом </w:t>
      </w:r>
      <w:r w:rsidR="008A3433" w:rsidRPr="00082743">
        <w:rPr>
          <w:bCs/>
          <w:caps/>
          <w:sz w:val="24"/>
          <w:szCs w:val="24"/>
        </w:rPr>
        <w:t>[</w:t>
      </w:r>
      <w:r w:rsidR="008A343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bCs/>
          <w:caps/>
          <w:sz w:val="24"/>
          <w:szCs w:val="24"/>
        </w:rPr>
        <w:t>]</w:t>
      </w:r>
      <w:r w:rsidRPr="00503B7C">
        <w:rPr>
          <w:sz w:val="24"/>
          <w:szCs w:val="24"/>
        </w:rPr>
        <w:t xml:space="preserve">, </w:t>
      </w:r>
      <w:r w:rsidR="00F85A72" w:rsidRPr="00503B7C">
        <w:rPr>
          <w:sz w:val="24"/>
          <w:szCs w:val="24"/>
        </w:rPr>
        <w:t>во</w:t>
      </w:r>
      <w:r w:rsidRPr="00503B7C">
        <w:rPr>
          <w:sz w:val="24"/>
          <w:szCs w:val="24"/>
        </w:rPr>
        <w:t xml:space="preserve"> всех дозировках,</w:t>
      </w:r>
      <w:r w:rsidR="00F85A72" w:rsidRPr="00503B7C">
        <w:rPr>
          <w:sz w:val="24"/>
          <w:szCs w:val="24"/>
        </w:rPr>
        <w:t xml:space="preserve"> и</w:t>
      </w:r>
      <w:r w:rsidRPr="00503B7C">
        <w:rPr>
          <w:sz w:val="24"/>
          <w:szCs w:val="24"/>
        </w:rPr>
        <w:t xml:space="preserve"> особенно при дозировках &gt; 20 мг.</w:t>
      </w:r>
    </w:p>
    <w:p w:rsidR="001243E8" w:rsidRPr="00503B7C" w:rsidRDefault="00F371DB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Сообщалось </w:t>
      </w:r>
      <w:r w:rsidR="00F11A08">
        <w:rPr>
          <w:sz w:val="24"/>
          <w:szCs w:val="24"/>
        </w:rPr>
        <w:t xml:space="preserve">о </w:t>
      </w:r>
      <w:r w:rsidR="001F1036" w:rsidRPr="00503B7C">
        <w:rPr>
          <w:sz w:val="24"/>
          <w:szCs w:val="24"/>
        </w:rPr>
        <w:t>доз</w:t>
      </w:r>
      <w:r w:rsidR="007A1383" w:rsidRPr="00503B7C">
        <w:rPr>
          <w:sz w:val="24"/>
          <w:szCs w:val="24"/>
        </w:rPr>
        <w:t>о</w:t>
      </w:r>
      <w:r w:rsidR="001F1036" w:rsidRPr="00503B7C">
        <w:rPr>
          <w:sz w:val="24"/>
          <w:szCs w:val="24"/>
        </w:rPr>
        <w:t>зависимом</w:t>
      </w:r>
      <w:r w:rsidR="00F11A08">
        <w:rPr>
          <w:sz w:val="24"/>
          <w:szCs w:val="24"/>
        </w:rPr>
        <w:t xml:space="preserve"> </w:t>
      </w:r>
      <w:r w:rsidR="001243E8" w:rsidRPr="00503B7C">
        <w:rPr>
          <w:sz w:val="24"/>
          <w:szCs w:val="24"/>
        </w:rPr>
        <w:t>повышени</w:t>
      </w:r>
      <w:r w:rsidRPr="00503B7C">
        <w:rPr>
          <w:sz w:val="24"/>
          <w:szCs w:val="24"/>
        </w:rPr>
        <w:t>и</w:t>
      </w:r>
      <w:r w:rsidR="001243E8" w:rsidRPr="00503B7C">
        <w:rPr>
          <w:sz w:val="24"/>
          <w:szCs w:val="24"/>
        </w:rPr>
        <w:t xml:space="preserve"> уровн</w:t>
      </w:r>
      <w:r w:rsidRPr="00503B7C">
        <w:rPr>
          <w:sz w:val="24"/>
          <w:szCs w:val="24"/>
        </w:rPr>
        <w:t>я</w:t>
      </w:r>
      <w:r w:rsidR="00F11A08">
        <w:rPr>
          <w:sz w:val="24"/>
          <w:szCs w:val="24"/>
        </w:rPr>
        <w:t xml:space="preserve"> </w:t>
      </w:r>
      <w:r w:rsidR="001243E8" w:rsidRPr="00503B7C">
        <w:rPr>
          <w:sz w:val="24"/>
          <w:szCs w:val="24"/>
        </w:rPr>
        <w:t>креатинкиназы у пациентов, принимающих розувастатин</w:t>
      </w:r>
      <w:r w:rsidRPr="00503B7C">
        <w:rPr>
          <w:sz w:val="24"/>
          <w:szCs w:val="24"/>
        </w:rPr>
        <w:t>, при этом</w:t>
      </w:r>
      <w:r w:rsidR="001243E8" w:rsidRPr="00503B7C">
        <w:rPr>
          <w:sz w:val="24"/>
          <w:szCs w:val="24"/>
        </w:rPr>
        <w:t xml:space="preserve"> большинство случаев были легкой степени</w:t>
      </w:r>
      <w:r w:rsidRPr="00503B7C">
        <w:rPr>
          <w:sz w:val="24"/>
          <w:szCs w:val="24"/>
        </w:rPr>
        <w:t xml:space="preserve"> тяжести</w:t>
      </w:r>
      <w:r w:rsidR="001243E8" w:rsidRPr="00503B7C">
        <w:rPr>
          <w:sz w:val="24"/>
          <w:szCs w:val="24"/>
        </w:rPr>
        <w:t xml:space="preserve">, бессимптомными и обратимыми. </w:t>
      </w:r>
      <w:r w:rsidRPr="00503B7C">
        <w:rPr>
          <w:sz w:val="24"/>
          <w:szCs w:val="24"/>
        </w:rPr>
        <w:t>В случае</w:t>
      </w:r>
      <w:r w:rsidR="001243E8" w:rsidRPr="00503B7C">
        <w:rPr>
          <w:sz w:val="24"/>
          <w:szCs w:val="24"/>
        </w:rPr>
        <w:t xml:space="preserve"> повышени</w:t>
      </w:r>
      <w:r w:rsidRPr="00503B7C">
        <w:rPr>
          <w:sz w:val="24"/>
          <w:szCs w:val="24"/>
        </w:rPr>
        <w:t>я</w:t>
      </w:r>
      <w:r w:rsidR="001243E8" w:rsidRPr="00503B7C">
        <w:rPr>
          <w:sz w:val="24"/>
          <w:szCs w:val="24"/>
        </w:rPr>
        <w:t xml:space="preserve"> уровня креатинкиназы</w:t>
      </w:r>
      <w:r w:rsidRPr="00503B7C">
        <w:rPr>
          <w:sz w:val="24"/>
          <w:szCs w:val="24"/>
        </w:rPr>
        <w:t xml:space="preserve"> более </w:t>
      </w:r>
      <w:r w:rsidR="00B5763C" w:rsidRPr="00503B7C">
        <w:rPr>
          <w:sz w:val="24"/>
          <w:szCs w:val="24"/>
        </w:rPr>
        <w:t>чем в</w:t>
      </w:r>
      <w:r w:rsidR="001243E8" w:rsidRPr="00503B7C">
        <w:rPr>
          <w:sz w:val="24"/>
          <w:szCs w:val="24"/>
        </w:rPr>
        <w:t xml:space="preserve"> 5</w:t>
      </w:r>
      <w:r w:rsidRPr="00503B7C">
        <w:rPr>
          <w:sz w:val="24"/>
          <w:szCs w:val="24"/>
        </w:rPr>
        <w:t xml:space="preserve"> раз </w:t>
      </w:r>
      <w:r w:rsidR="00B5763C" w:rsidRPr="00503B7C">
        <w:rPr>
          <w:sz w:val="24"/>
          <w:szCs w:val="24"/>
        </w:rPr>
        <w:t>от</w:t>
      </w:r>
      <w:r w:rsidRPr="00503B7C">
        <w:rPr>
          <w:sz w:val="24"/>
          <w:szCs w:val="24"/>
        </w:rPr>
        <w:t xml:space="preserve"> верхн</w:t>
      </w:r>
      <w:r w:rsidR="00B5763C" w:rsidRPr="00503B7C">
        <w:rPr>
          <w:sz w:val="24"/>
          <w:szCs w:val="24"/>
        </w:rPr>
        <w:t>ей границы</w:t>
      </w:r>
      <w:r w:rsidRPr="00503B7C">
        <w:rPr>
          <w:sz w:val="24"/>
          <w:szCs w:val="24"/>
        </w:rPr>
        <w:t xml:space="preserve"> нормы</w:t>
      </w:r>
      <w:r w:rsidR="00B5763C" w:rsidRPr="00503B7C">
        <w:rPr>
          <w:sz w:val="24"/>
          <w:szCs w:val="24"/>
        </w:rPr>
        <w:t xml:space="preserve">, </w:t>
      </w:r>
      <w:r w:rsidR="001243E8" w:rsidRPr="00503B7C">
        <w:rPr>
          <w:sz w:val="24"/>
          <w:szCs w:val="24"/>
        </w:rPr>
        <w:t>лечение</w:t>
      </w:r>
      <w:r w:rsidR="00B5763C" w:rsidRPr="00503B7C">
        <w:rPr>
          <w:sz w:val="24"/>
          <w:szCs w:val="24"/>
        </w:rPr>
        <w:t xml:space="preserve"> препаратом </w:t>
      </w:r>
      <w:r w:rsidR="008A3433" w:rsidRPr="00082743">
        <w:rPr>
          <w:bCs/>
          <w:caps/>
          <w:sz w:val="24"/>
          <w:szCs w:val="24"/>
        </w:rPr>
        <w:t>[</w:t>
      </w:r>
      <w:r w:rsidR="008A3433" w:rsidRPr="00082743">
        <w:rPr>
          <w:bCs/>
          <w:caps/>
          <w:sz w:val="24"/>
          <w:szCs w:val="24"/>
          <w:highlight w:val="lightGray"/>
        </w:rPr>
        <w:t>ТОРГОВОЕ НАЗВАНИЕ</w:t>
      </w:r>
      <w:r w:rsidR="008A3433" w:rsidRPr="00082743">
        <w:rPr>
          <w:bCs/>
          <w:caps/>
          <w:sz w:val="24"/>
          <w:szCs w:val="24"/>
        </w:rPr>
        <w:t>]</w:t>
      </w:r>
      <w:r w:rsidR="001243E8" w:rsidRPr="00503B7C">
        <w:rPr>
          <w:sz w:val="24"/>
          <w:szCs w:val="24"/>
        </w:rPr>
        <w:t xml:space="preserve"> требуется прекратить</w:t>
      </w:r>
      <w:r w:rsidR="00B5763C" w:rsidRPr="00503B7C">
        <w:rPr>
          <w:sz w:val="24"/>
          <w:szCs w:val="24"/>
        </w:rPr>
        <w:t>.</w:t>
      </w:r>
    </w:p>
    <w:p w:rsidR="001243E8" w:rsidRPr="00503B7C" w:rsidRDefault="001243E8" w:rsidP="00503B7C">
      <w:pPr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>Воздействие на печень</w:t>
      </w:r>
    </w:p>
    <w:p w:rsidR="001243E8" w:rsidRPr="00503B7C" w:rsidRDefault="00B5763C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>Как и при применении других ингибиторов ГМГ-КоА-редуктазы</w:t>
      </w:r>
      <w:r w:rsidR="001243E8" w:rsidRPr="00503B7C">
        <w:rPr>
          <w:sz w:val="24"/>
          <w:szCs w:val="24"/>
        </w:rPr>
        <w:t xml:space="preserve">, наблюдалось </w:t>
      </w:r>
      <w:r w:rsidR="009B1875" w:rsidRPr="00503B7C">
        <w:rPr>
          <w:sz w:val="24"/>
          <w:szCs w:val="24"/>
        </w:rPr>
        <w:t>доз</w:t>
      </w:r>
      <w:r w:rsidR="007A1383" w:rsidRPr="00503B7C">
        <w:rPr>
          <w:sz w:val="24"/>
          <w:szCs w:val="24"/>
        </w:rPr>
        <w:t>о</w:t>
      </w:r>
      <w:r w:rsidR="009B1875" w:rsidRPr="00503B7C">
        <w:rPr>
          <w:sz w:val="24"/>
          <w:szCs w:val="24"/>
        </w:rPr>
        <w:t>зависимое</w:t>
      </w:r>
      <w:r w:rsidR="0001668B">
        <w:rPr>
          <w:sz w:val="24"/>
          <w:szCs w:val="24"/>
        </w:rPr>
        <w:t xml:space="preserve"> </w:t>
      </w:r>
      <w:r w:rsidR="001243E8" w:rsidRPr="00503B7C">
        <w:rPr>
          <w:sz w:val="24"/>
          <w:szCs w:val="24"/>
        </w:rPr>
        <w:t>повышение уровн</w:t>
      </w:r>
      <w:r w:rsidR="009B1875" w:rsidRPr="00503B7C">
        <w:rPr>
          <w:sz w:val="24"/>
          <w:szCs w:val="24"/>
        </w:rPr>
        <w:t>я</w:t>
      </w:r>
      <w:r w:rsidR="0001668B">
        <w:rPr>
          <w:sz w:val="24"/>
          <w:szCs w:val="24"/>
        </w:rPr>
        <w:t xml:space="preserve"> </w:t>
      </w:r>
      <w:r w:rsidR="009B1875" w:rsidRPr="00503B7C">
        <w:rPr>
          <w:sz w:val="24"/>
          <w:szCs w:val="24"/>
        </w:rPr>
        <w:t>трансаминаз</w:t>
      </w:r>
      <w:r w:rsidR="001243E8" w:rsidRPr="00503B7C">
        <w:rPr>
          <w:sz w:val="24"/>
          <w:szCs w:val="24"/>
        </w:rPr>
        <w:t xml:space="preserve"> у небольшого числа пациентов, принимающих розувастатин</w:t>
      </w:r>
      <w:r w:rsidR="009B1875" w:rsidRPr="00503B7C">
        <w:rPr>
          <w:sz w:val="24"/>
          <w:szCs w:val="24"/>
        </w:rPr>
        <w:t>, при этом</w:t>
      </w:r>
      <w:r w:rsidR="001243E8" w:rsidRPr="00503B7C">
        <w:rPr>
          <w:sz w:val="24"/>
          <w:szCs w:val="24"/>
        </w:rPr>
        <w:t xml:space="preserve"> большинство случаев были легкой степени</w:t>
      </w:r>
      <w:r w:rsidR="009B1875" w:rsidRPr="00503B7C">
        <w:rPr>
          <w:sz w:val="24"/>
          <w:szCs w:val="24"/>
        </w:rPr>
        <w:t xml:space="preserve"> тяжести</w:t>
      </w:r>
      <w:r w:rsidR="001243E8" w:rsidRPr="00503B7C">
        <w:rPr>
          <w:sz w:val="24"/>
          <w:szCs w:val="24"/>
        </w:rPr>
        <w:t>, бессимптомными и обратимыми.</w:t>
      </w:r>
    </w:p>
    <w:p w:rsidR="001243E8" w:rsidRPr="00503B7C" w:rsidRDefault="001243E8" w:rsidP="00503B7C">
      <w:pPr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 xml:space="preserve">Сообщалось о следующих неблагоприятных явлениях </w:t>
      </w:r>
      <w:r w:rsidR="009B1875" w:rsidRPr="00503B7C">
        <w:rPr>
          <w:i/>
          <w:sz w:val="24"/>
          <w:szCs w:val="24"/>
        </w:rPr>
        <w:t>при применении других  препаратов группы</w:t>
      </w:r>
      <w:r w:rsidR="0001668B">
        <w:rPr>
          <w:i/>
          <w:sz w:val="24"/>
          <w:szCs w:val="24"/>
        </w:rPr>
        <w:t xml:space="preserve"> </w:t>
      </w:r>
      <w:r w:rsidRPr="00503B7C">
        <w:rPr>
          <w:i/>
          <w:sz w:val="24"/>
          <w:szCs w:val="24"/>
        </w:rPr>
        <w:t>статин</w:t>
      </w:r>
      <w:r w:rsidR="009B1875" w:rsidRPr="00503B7C">
        <w:rPr>
          <w:i/>
          <w:sz w:val="24"/>
          <w:szCs w:val="24"/>
        </w:rPr>
        <w:t>ов:</w:t>
      </w:r>
    </w:p>
    <w:p w:rsidR="001243E8" w:rsidRPr="00503B7C" w:rsidRDefault="001243E8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>Нарушение половой функции</w:t>
      </w:r>
      <w:r w:rsidR="00A25EBC" w:rsidRPr="00503B7C">
        <w:rPr>
          <w:sz w:val="24"/>
          <w:szCs w:val="24"/>
        </w:rPr>
        <w:t>.</w:t>
      </w:r>
    </w:p>
    <w:p w:rsidR="001243E8" w:rsidRPr="00503B7C" w:rsidRDefault="00A25EBC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lastRenderedPageBreak/>
        <w:t>Редкие</w:t>
      </w:r>
      <w:r w:rsidR="001243E8" w:rsidRPr="00503B7C">
        <w:rPr>
          <w:sz w:val="24"/>
          <w:szCs w:val="24"/>
        </w:rPr>
        <w:t xml:space="preserve"> случаи интерстициального заболевания легк</w:t>
      </w:r>
      <w:r w:rsidRPr="00503B7C">
        <w:rPr>
          <w:sz w:val="24"/>
          <w:szCs w:val="24"/>
        </w:rPr>
        <w:t>их</w:t>
      </w:r>
      <w:r w:rsidR="001243E8" w:rsidRPr="00503B7C">
        <w:rPr>
          <w:sz w:val="24"/>
          <w:szCs w:val="24"/>
        </w:rPr>
        <w:t>, особенно при д</w:t>
      </w:r>
      <w:r w:rsidRPr="00503B7C">
        <w:rPr>
          <w:sz w:val="24"/>
          <w:szCs w:val="24"/>
        </w:rPr>
        <w:t>лительной терапии статинами</w:t>
      </w:r>
      <w:r w:rsidR="001243E8" w:rsidRPr="00503B7C">
        <w:rPr>
          <w:sz w:val="24"/>
          <w:szCs w:val="24"/>
        </w:rPr>
        <w:t>.</w:t>
      </w:r>
    </w:p>
    <w:p w:rsidR="001243E8" w:rsidRPr="00503B7C" w:rsidRDefault="001243E8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>Коэффициент регистрации случаев рабдомиолиза, серьезных заболеваний почек и печени (включая в основном повышение уровня трансаминаз)</w:t>
      </w:r>
      <w:r w:rsidR="00A25EBC" w:rsidRPr="00503B7C">
        <w:rPr>
          <w:sz w:val="24"/>
          <w:szCs w:val="24"/>
        </w:rPr>
        <w:t xml:space="preserve"> был</w:t>
      </w:r>
      <w:r w:rsidRPr="00503B7C">
        <w:rPr>
          <w:sz w:val="24"/>
          <w:szCs w:val="24"/>
        </w:rPr>
        <w:t xml:space="preserve"> выше при</w:t>
      </w:r>
      <w:r w:rsidR="00A25EBC" w:rsidRPr="00503B7C">
        <w:rPr>
          <w:sz w:val="24"/>
          <w:szCs w:val="24"/>
        </w:rPr>
        <w:t xml:space="preserve"> приеме</w:t>
      </w:r>
      <w:r w:rsidRPr="00503B7C">
        <w:rPr>
          <w:sz w:val="24"/>
          <w:szCs w:val="24"/>
        </w:rPr>
        <w:t xml:space="preserve"> доз</w:t>
      </w:r>
      <w:r w:rsidR="00A25EBC" w:rsidRPr="00503B7C">
        <w:rPr>
          <w:sz w:val="24"/>
          <w:szCs w:val="24"/>
        </w:rPr>
        <w:t>ы</w:t>
      </w:r>
      <w:r w:rsidRPr="00503B7C">
        <w:rPr>
          <w:sz w:val="24"/>
          <w:szCs w:val="24"/>
        </w:rPr>
        <w:t>, равной 40 мг.</w:t>
      </w:r>
    </w:p>
    <w:p w:rsidR="00A25EBC" w:rsidRPr="00503B7C" w:rsidRDefault="00A25EBC" w:rsidP="00503B7C">
      <w:pPr>
        <w:jc w:val="both"/>
        <w:rPr>
          <w:i/>
          <w:sz w:val="24"/>
          <w:szCs w:val="24"/>
        </w:rPr>
      </w:pPr>
      <w:r w:rsidRPr="00503B7C">
        <w:rPr>
          <w:i/>
          <w:sz w:val="24"/>
          <w:szCs w:val="24"/>
        </w:rPr>
        <w:t>П</w:t>
      </w:r>
      <w:r w:rsidR="001243E8" w:rsidRPr="00503B7C">
        <w:rPr>
          <w:i/>
          <w:sz w:val="24"/>
          <w:szCs w:val="24"/>
        </w:rPr>
        <w:t>ациент</w:t>
      </w:r>
      <w:r w:rsidRPr="00503B7C">
        <w:rPr>
          <w:i/>
          <w:sz w:val="24"/>
          <w:szCs w:val="24"/>
        </w:rPr>
        <w:t>ы</w:t>
      </w:r>
      <w:r w:rsidR="001243E8" w:rsidRPr="00503B7C">
        <w:rPr>
          <w:i/>
          <w:sz w:val="24"/>
          <w:szCs w:val="24"/>
        </w:rPr>
        <w:t xml:space="preserve"> детского возраста</w:t>
      </w:r>
    </w:p>
    <w:p w:rsidR="00FA212C" w:rsidRPr="00503B7C" w:rsidRDefault="003F617F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>В ходе клинического исследования продолжительностью 52 недели с участием детей и подростков п</w:t>
      </w:r>
      <w:r w:rsidR="001243E8" w:rsidRPr="00503B7C">
        <w:rPr>
          <w:sz w:val="24"/>
          <w:szCs w:val="24"/>
        </w:rPr>
        <w:t>овышение уровня креатинкиназы</w:t>
      </w:r>
      <w:r w:rsidR="0001668B">
        <w:rPr>
          <w:sz w:val="24"/>
          <w:szCs w:val="24"/>
        </w:rPr>
        <w:t xml:space="preserve"> </w:t>
      </w:r>
      <w:r w:rsidR="00A25EBC" w:rsidRPr="00503B7C">
        <w:rPr>
          <w:sz w:val="24"/>
          <w:szCs w:val="24"/>
        </w:rPr>
        <w:t>более чем в</w:t>
      </w:r>
      <w:r w:rsidR="001243E8" w:rsidRPr="00503B7C">
        <w:rPr>
          <w:sz w:val="24"/>
          <w:szCs w:val="24"/>
        </w:rPr>
        <w:t xml:space="preserve"> 10</w:t>
      </w:r>
      <w:r w:rsidR="00A25EBC" w:rsidRPr="00503B7C">
        <w:rPr>
          <w:sz w:val="24"/>
          <w:szCs w:val="24"/>
        </w:rPr>
        <w:t xml:space="preserve"> раз от верхней границы нормы </w:t>
      </w:r>
      <w:r w:rsidR="001243E8" w:rsidRPr="00503B7C">
        <w:rPr>
          <w:sz w:val="24"/>
          <w:szCs w:val="24"/>
        </w:rPr>
        <w:t>и мышечные симптомы после упражнений или повышенной физической активности наблюдались</w:t>
      </w:r>
      <w:r w:rsidR="00A25EBC" w:rsidRPr="00503B7C">
        <w:rPr>
          <w:sz w:val="24"/>
          <w:szCs w:val="24"/>
        </w:rPr>
        <w:t xml:space="preserve"> наиболее</w:t>
      </w:r>
      <w:r w:rsidR="001243E8" w:rsidRPr="00503B7C">
        <w:rPr>
          <w:sz w:val="24"/>
          <w:szCs w:val="24"/>
        </w:rPr>
        <w:t xml:space="preserve"> ча</w:t>
      </w:r>
      <w:r w:rsidR="00A25EBC" w:rsidRPr="00503B7C">
        <w:rPr>
          <w:sz w:val="24"/>
          <w:szCs w:val="24"/>
        </w:rPr>
        <w:t xml:space="preserve">сто </w:t>
      </w:r>
      <w:r w:rsidRPr="00503B7C">
        <w:rPr>
          <w:sz w:val="24"/>
          <w:szCs w:val="24"/>
        </w:rPr>
        <w:t xml:space="preserve">у детей и подростков </w:t>
      </w:r>
      <w:r w:rsidR="001243E8" w:rsidRPr="00503B7C">
        <w:rPr>
          <w:sz w:val="24"/>
          <w:szCs w:val="24"/>
        </w:rPr>
        <w:t>по сравнению со взрослыми</w:t>
      </w:r>
      <w:r w:rsidRPr="00503B7C">
        <w:rPr>
          <w:sz w:val="24"/>
          <w:szCs w:val="24"/>
        </w:rPr>
        <w:t xml:space="preserve"> пациентами</w:t>
      </w:r>
      <w:r w:rsidR="001243E8" w:rsidRPr="00503B7C">
        <w:rPr>
          <w:sz w:val="24"/>
          <w:szCs w:val="24"/>
        </w:rPr>
        <w:t xml:space="preserve">. В остальных аспектах профиль безопасности </w:t>
      </w:r>
      <w:r w:rsidR="002F5B83" w:rsidRPr="00503B7C">
        <w:rPr>
          <w:sz w:val="24"/>
          <w:szCs w:val="24"/>
        </w:rPr>
        <w:t>розувастатина</w:t>
      </w:r>
      <w:r w:rsidR="0001668B">
        <w:rPr>
          <w:sz w:val="24"/>
          <w:szCs w:val="24"/>
        </w:rPr>
        <w:t xml:space="preserve"> </w:t>
      </w:r>
      <w:r w:rsidR="001243E8" w:rsidRPr="00503B7C">
        <w:rPr>
          <w:sz w:val="24"/>
          <w:szCs w:val="24"/>
        </w:rPr>
        <w:t>был одинаков у детей и подростков по сравнению со взрослыми.</w:t>
      </w:r>
    </w:p>
    <w:p w:rsidR="00800137" w:rsidRPr="00503B7C" w:rsidRDefault="0080013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29D7" w:rsidRPr="00503B7C" w:rsidRDefault="00E629D7" w:rsidP="00503B7C">
      <w:pPr>
        <w:jc w:val="both"/>
        <w:rPr>
          <w:b/>
          <w:sz w:val="24"/>
          <w:szCs w:val="24"/>
        </w:rPr>
      </w:pPr>
      <w:r w:rsidRPr="00503B7C">
        <w:rPr>
          <w:b/>
          <w:sz w:val="24"/>
          <w:szCs w:val="24"/>
        </w:rPr>
        <w:t xml:space="preserve">Сообщение о подозреваемых нежелательных реакциях </w:t>
      </w:r>
    </w:p>
    <w:p w:rsidR="00DA50F1" w:rsidRDefault="00E629D7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Важно сообщать о подозреваемых нежелательных реакциях после регистрации ЛП с целью обеспечения непрерывного мониторинга соотношения «польза – риск» ЛП.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РК. </w:t>
      </w:r>
    </w:p>
    <w:p w:rsidR="00DA50F1" w:rsidRDefault="00E629D7" w:rsidP="00503B7C">
      <w:pPr>
        <w:jc w:val="both"/>
        <w:rPr>
          <w:sz w:val="24"/>
          <w:szCs w:val="24"/>
        </w:rPr>
      </w:pPr>
      <w:r w:rsidRPr="00503B7C">
        <w:rPr>
          <w:sz w:val="24"/>
          <w:szCs w:val="24"/>
        </w:rPr>
        <w:t xml:space="preserve">РГП на ПХВ «Национальный </w:t>
      </w:r>
      <w:r w:rsidR="007237E9" w:rsidRPr="00503B7C">
        <w:rPr>
          <w:sz w:val="24"/>
          <w:szCs w:val="24"/>
        </w:rPr>
        <w:t>ц</w:t>
      </w:r>
      <w:r w:rsidRPr="00503B7C">
        <w:rPr>
          <w:sz w:val="24"/>
          <w:szCs w:val="24"/>
        </w:rPr>
        <w:t>ентр экспертизы лекарственных средств и медицинских</w:t>
      </w:r>
    </w:p>
    <w:p w:rsidR="00E629D7" w:rsidRPr="00503B7C" w:rsidRDefault="00E629D7" w:rsidP="0001668B">
      <w:pPr>
        <w:tabs>
          <w:tab w:val="left" w:pos="9071"/>
        </w:tabs>
        <w:jc w:val="both"/>
        <w:rPr>
          <w:sz w:val="24"/>
          <w:szCs w:val="24"/>
        </w:rPr>
      </w:pPr>
      <w:r w:rsidRPr="00503B7C">
        <w:rPr>
          <w:sz w:val="24"/>
          <w:szCs w:val="24"/>
        </w:rPr>
        <w:t>изделий</w:t>
      </w:r>
      <w:r w:rsidR="007B0546" w:rsidRPr="00503B7C">
        <w:rPr>
          <w:sz w:val="24"/>
          <w:szCs w:val="24"/>
        </w:rPr>
        <w:t>»</w:t>
      </w:r>
      <w:r w:rsidRPr="00503B7C">
        <w:rPr>
          <w:sz w:val="24"/>
          <w:szCs w:val="24"/>
        </w:rPr>
        <w:t xml:space="preserve"> Комитет</w:t>
      </w:r>
      <w:r w:rsidR="00F60E8D" w:rsidRPr="00503B7C">
        <w:rPr>
          <w:sz w:val="24"/>
          <w:szCs w:val="24"/>
        </w:rPr>
        <w:t>а</w:t>
      </w:r>
      <w:r w:rsidR="0001668B">
        <w:rPr>
          <w:sz w:val="24"/>
          <w:szCs w:val="24"/>
        </w:rPr>
        <w:t xml:space="preserve"> </w:t>
      </w:r>
      <w:r w:rsidR="00F60E8D" w:rsidRPr="00503B7C">
        <w:rPr>
          <w:sz w:val="24"/>
          <w:szCs w:val="24"/>
        </w:rPr>
        <w:t xml:space="preserve">медицинского и фармацевтического контроля </w:t>
      </w:r>
      <w:r w:rsidRPr="00503B7C">
        <w:rPr>
          <w:sz w:val="24"/>
          <w:szCs w:val="24"/>
        </w:rPr>
        <w:t>Министерства</w:t>
      </w:r>
      <w:r w:rsidR="0001668B">
        <w:rPr>
          <w:sz w:val="24"/>
          <w:szCs w:val="24"/>
        </w:rPr>
        <w:t xml:space="preserve"> </w:t>
      </w:r>
      <w:r w:rsidRPr="00503B7C">
        <w:rPr>
          <w:sz w:val="24"/>
          <w:szCs w:val="24"/>
        </w:rPr>
        <w:t>здравоохранения Республики Казахстан</w:t>
      </w:r>
    </w:p>
    <w:p w:rsidR="00E629D7" w:rsidRPr="00503B7C" w:rsidRDefault="00D81634" w:rsidP="00503B7C">
      <w:pPr>
        <w:jc w:val="both"/>
        <w:rPr>
          <w:sz w:val="24"/>
          <w:szCs w:val="24"/>
        </w:rPr>
      </w:pPr>
      <w:hyperlink r:id="rId9" w:history="1">
        <w:r w:rsidR="00E629D7" w:rsidRPr="00503B7C">
          <w:rPr>
            <w:rStyle w:val="a3"/>
            <w:color w:val="auto"/>
            <w:sz w:val="24"/>
            <w:szCs w:val="24"/>
            <w:lang w:val="en-US"/>
          </w:rPr>
          <w:t>http</w:t>
        </w:r>
        <w:r w:rsidR="00E629D7" w:rsidRPr="00503B7C">
          <w:rPr>
            <w:rStyle w:val="a3"/>
            <w:color w:val="auto"/>
            <w:sz w:val="24"/>
            <w:szCs w:val="24"/>
          </w:rPr>
          <w:t>://</w:t>
        </w:r>
        <w:r w:rsidR="00E629D7" w:rsidRPr="00503B7C">
          <w:rPr>
            <w:rStyle w:val="a3"/>
            <w:color w:val="auto"/>
            <w:sz w:val="24"/>
            <w:szCs w:val="24"/>
            <w:lang w:val="en-US"/>
          </w:rPr>
          <w:t>www</w:t>
        </w:r>
        <w:r w:rsidR="00E629D7" w:rsidRPr="00503B7C">
          <w:rPr>
            <w:rStyle w:val="a3"/>
            <w:color w:val="auto"/>
            <w:sz w:val="24"/>
            <w:szCs w:val="24"/>
          </w:rPr>
          <w:t>.</w:t>
        </w:r>
        <w:r w:rsidR="00E629D7" w:rsidRPr="00503B7C">
          <w:rPr>
            <w:rStyle w:val="a3"/>
            <w:color w:val="auto"/>
            <w:sz w:val="24"/>
            <w:szCs w:val="24"/>
            <w:lang w:val="en-US"/>
          </w:rPr>
          <w:t>ndda</w:t>
        </w:r>
        <w:r w:rsidR="00E629D7" w:rsidRPr="00503B7C">
          <w:rPr>
            <w:rStyle w:val="a3"/>
            <w:color w:val="auto"/>
            <w:sz w:val="24"/>
            <w:szCs w:val="24"/>
          </w:rPr>
          <w:t>.</w:t>
        </w:r>
        <w:r w:rsidR="00E629D7" w:rsidRPr="00503B7C">
          <w:rPr>
            <w:rStyle w:val="a3"/>
            <w:color w:val="auto"/>
            <w:sz w:val="24"/>
            <w:szCs w:val="24"/>
            <w:lang w:val="en-US"/>
          </w:rPr>
          <w:t>kz</w:t>
        </w:r>
      </w:hyperlink>
    </w:p>
    <w:p w:rsidR="005866DC" w:rsidRPr="00503B7C" w:rsidRDefault="005866DC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6C15" w:rsidRPr="00503B7C" w:rsidRDefault="00672445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4.9. Передозировка</w:t>
      </w:r>
    </w:p>
    <w:p w:rsidR="00CE0F7C" w:rsidRPr="00503B7C" w:rsidRDefault="00CE0F7C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Симптомы</w:t>
      </w:r>
      <w:r w:rsidRPr="00503B7C">
        <w:rPr>
          <w:rFonts w:ascii="Times New Roman" w:hAnsi="Times New Roman" w:cs="Times New Roman"/>
          <w:sz w:val="24"/>
          <w:szCs w:val="24"/>
        </w:rPr>
        <w:t xml:space="preserve"> - выраженность симптомов побочных эффектов</w:t>
      </w:r>
    </w:p>
    <w:p w:rsidR="00CE0F7C" w:rsidRPr="00503B7C" w:rsidRDefault="00CE0F7C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Лечение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- симптоматическое и поддерживающие мероприятия. Необходим контроль функции печени и уровня КФК. Маловероятно, что гемодиализ будет эффективен.</w:t>
      </w:r>
    </w:p>
    <w:p w:rsidR="00C9726D" w:rsidRPr="00503B7C" w:rsidRDefault="00C9726D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5. ФАРМАКОЛОГИЧЕСКИЕ СВОЙСТВА</w:t>
      </w: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0" w:name="Par2291"/>
      <w:bookmarkEnd w:id="20"/>
      <w:r w:rsidRPr="00503B7C">
        <w:rPr>
          <w:rFonts w:ascii="Times New Roman" w:hAnsi="Times New Roman" w:cs="Times New Roman"/>
          <w:b/>
          <w:sz w:val="24"/>
          <w:szCs w:val="24"/>
        </w:rPr>
        <w:t>5.</w:t>
      </w:r>
      <w:r w:rsidR="00672445" w:rsidRPr="00503B7C">
        <w:rPr>
          <w:rFonts w:ascii="Times New Roman" w:hAnsi="Times New Roman" w:cs="Times New Roman"/>
          <w:b/>
          <w:sz w:val="24"/>
          <w:szCs w:val="24"/>
        </w:rPr>
        <w:t>1. Фармакодинамические свойства</w:t>
      </w:r>
    </w:p>
    <w:p w:rsidR="00FC1E90" w:rsidRPr="00503B7C" w:rsidRDefault="007237E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eastAsia="TimesNewRomanPSMT" w:hAnsi="Times New Roman" w:cs="Times New Roman"/>
          <w:sz w:val="24"/>
          <w:szCs w:val="24"/>
        </w:rPr>
        <w:t xml:space="preserve">Фармакотерапевтическая группа: </w:t>
      </w:r>
      <w:r w:rsidR="00FC1E90" w:rsidRPr="00503B7C">
        <w:rPr>
          <w:rFonts w:ascii="Times New Roman" w:hAnsi="Times New Roman" w:cs="Times New Roman"/>
          <w:sz w:val="24"/>
          <w:szCs w:val="24"/>
        </w:rPr>
        <w:t>Липид-модифицирующие препараты. Липид-модифицирующие препараты, простые. HMG-CoA-редуктазы ингибиторы. Розувастатин</w:t>
      </w:r>
    </w:p>
    <w:p w:rsidR="00920343" w:rsidRPr="00503B7C" w:rsidRDefault="00FC1E9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Код АТХ С10АА07</w:t>
      </w:r>
    </w:p>
    <w:p w:rsidR="00FC1E90" w:rsidRPr="00503B7C" w:rsidRDefault="00FC1E90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>Механизм действия</w:t>
      </w:r>
    </w:p>
    <w:p w:rsidR="007015CB" w:rsidRPr="00503B7C" w:rsidRDefault="00033DE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Розувастатин является селективным, конкурентным ингибитором ГМГ-КоА</w:t>
      </w:r>
      <w:r w:rsidR="00020EAD" w:rsidRPr="00503B7C">
        <w:rPr>
          <w:rFonts w:ascii="Times New Roman" w:hAnsi="Times New Roman" w:cs="Times New Roman"/>
          <w:sz w:val="24"/>
          <w:szCs w:val="24"/>
        </w:rPr>
        <w:t>-</w:t>
      </w:r>
      <w:r w:rsidRPr="00503B7C">
        <w:rPr>
          <w:rFonts w:ascii="Times New Roman" w:hAnsi="Times New Roman" w:cs="Times New Roman"/>
          <w:sz w:val="24"/>
          <w:szCs w:val="24"/>
        </w:rPr>
        <w:t>редуктазы - фермента, превращающего 3-гидрокси-3-метилглутарилкоэнзим А в мевалонат, предшественник холестерина. Основной мишенью действия розувастатина является печень, где осуществляется синтез холестерина (ХС)</w:t>
      </w:r>
      <w:r w:rsidR="000574F7" w:rsidRPr="00503B7C">
        <w:rPr>
          <w:rFonts w:ascii="Times New Roman" w:hAnsi="Times New Roman" w:cs="Times New Roman"/>
          <w:sz w:val="24"/>
          <w:szCs w:val="24"/>
        </w:rPr>
        <w:t>. Розувастатин</w:t>
      </w:r>
      <w:r w:rsidR="0001668B">
        <w:rPr>
          <w:rFonts w:ascii="Times New Roman" w:hAnsi="Times New Roman" w:cs="Times New Roman"/>
          <w:sz w:val="24"/>
          <w:szCs w:val="24"/>
        </w:rPr>
        <w:t xml:space="preserve"> </w:t>
      </w:r>
      <w:r w:rsidR="000574F7" w:rsidRPr="00503B7C">
        <w:rPr>
          <w:rFonts w:ascii="Times New Roman" w:hAnsi="Times New Roman" w:cs="Times New Roman"/>
          <w:sz w:val="24"/>
          <w:szCs w:val="24"/>
        </w:rPr>
        <w:t xml:space="preserve">улучшает захвати </w:t>
      </w:r>
      <w:r w:rsidRPr="00503B7C">
        <w:rPr>
          <w:rFonts w:ascii="Times New Roman" w:hAnsi="Times New Roman" w:cs="Times New Roman"/>
          <w:sz w:val="24"/>
          <w:szCs w:val="24"/>
        </w:rPr>
        <w:t>катаболизм липопротеинов низкой плотности (ЛПНП)</w:t>
      </w:r>
      <w:r w:rsidR="00B4525E" w:rsidRPr="00503B7C">
        <w:rPr>
          <w:rFonts w:ascii="Times New Roman" w:hAnsi="Times New Roman" w:cs="Times New Roman"/>
          <w:sz w:val="24"/>
          <w:szCs w:val="24"/>
        </w:rPr>
        <w:t>, увеличива</w:t>
      </w:r>
      <w:r w:rsidR="000574F7" w:rsidRPr="00503B7C">
        <w:rPr>
          <w:rFonts w:ascii="Times New Roman" w:hAnsi="Times New Roman" w:cs="Times New Roman"/>
          <w:sz w:val="24"/>
          <w:szCs w:val="24"/>
        </w:rPr>
        <w:t>я</w:t>
      </w:r>
      <w:r w:rsidR="00B4525E" w:rsidRPr="00503B7C">
        <w:rPr>
          <w:rFonts w:ascii="Times New Roman" w:hAnsi="Times New Roman" w:cs="Times New Roman"/>
          <w:sz w:val="24"/>
          <w:szCs w:val="24"/>
        </w:rPr>
        <w:t xml:space="preserve"> количество ЛПНП-рецепторов на поверхности клеток</w:t>
      </w:r>
      <w:r w:rsidR="000574F7" w:rsidRPr="00503B7C">
        <w:rPr>
          <w:rFonts w:ascii="Times New Roman" w:hAnsi="Times New Roman" w:cs="Times New Roman"/>
          <w:sz w:val="24"/>
          <w:szCs w:val="24"/>
        </w:rPr>
        <w:t xml:space="preserve"> печени, а также он ингибирует синтез ЛПОНП, тем самым сокращая общее количество ЛПОНП и ЛПНП</w:t>
      </w:r>
      <w:r w:rsidRPr="00503B7C">
        <w:rPr>
          <w:rFonts w:ascii="Times New Roman" w:hAnsi="Times New Roman" w:cs="Times New Roman"/>
          <w:sz w:val="24"/>
          <w:szCs w:val="24"/>
        </w:rPr>
        <w:t>.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>Фармакодинамические эффекты</w:t>
      </w:r>
    </w:p>
    <w:p w:rsidR="007015CB" w:rsidRPr="00503B7C" w:rsidRDefault="008A3433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433">
        <w:rPr>
          <w:rFonts w:ascii="Times New Roman" w:hAnsi="Times New Roman" w:cs="Times New Roman"/>
          <w:sz w:val="24"/>
          <w:szCs w:val="24"/>
        </w:rPr>
        <w:t>Розувастатин</w:t>
      </w:r>
      <w:r w:rsidR="007015CB" w:rsidRPr="00503B7C">
        <w:rPr>
          <w:rFonts w:ascii="Times New Roman" w:hAnsi="Times New Roman" w:cs="Times New Roman"/>
          <w:sz w:val="24"/>
          <w:szCs w:val="24"/>
        </w:rPr>
        <w:t xml:space="preserve"> снижает повышенное содержание холестерина-ЛПНП (ХС-ЛПНП), общего холестерина, триглицеридов (ТГ), повышает содержание холестерина липопротеинов высокой плотности (ХС-ЛПВП), а также снижает содержание аполипопротеина В (АпоВ), ХС-неЛПВП, ХС-ЛПОНП, ТГ-ЛПОНП и увеличивает уровень аполипопротеина А-I (АпоА-I), снижает соотношение ХС-ЛПНП/ХС-ЛПВП, общий ХС/ХС-ЛПВП и ХС-неЛПВП/ ХС-ЛПВП и соотношение AпoB/AпoA-I.</w:t>
      </w:r>
    </w:p>
    <w:p w:rsidR="008B1A5F" w:rsidRPr="00503B7C" w:rsidRDefault="008B1A5F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A5F" w:rsidRPr="00503B7C" w:rsidRDefault="008B1A5F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lastRenderedPageBreak/>
        <w:t>Таблица 3. Дозозависимость у пациентов с первичной</w:t>
      </w:r>
      <w:r w:rsidR="002F1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i/>
          <w:sz w:val="24"/>
          <w:szCs w:val="24"/>
        </w:rPr>
        <w:t>гиперхолестеринемией (тип IIa и IIb) (скорректированное среднее процентное изменение от исходного уровня)</w:t>
      </w:r>
    </w:p>
    <w:p w:rsidR="008B1A5F" w:rsidRPr="00503B7C" w:rsidRDefault="008B1A5F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1"/>
        <w:tblW w:w="9548" w:type="dxa"/>
        <w:tblLayout w:type="fixed"/>
        <w:tblLook w:val="01E0" w:firstRow="1" w:lastRow="1" w:firstColumn="1" w:lastColumn="1" w:noHBand="0" w:noVBand="0"/>
      </w:tblPr>
      <w:tblGrid>
        <w:gridCol w:w="1043"/>
        <w:gridCol w:w="851"/>
        <w:gridCol w:w="1134"/>
        <w:gridCol w:w="1275"/>
        <w:gridCol w:w="1134"/>
        <w:gridCol w:w="993"/>
        <w:gridCol w:w="1417"/>
        <w:gridCol w:w="709"/>
        <w:gridCol w:w="992"/>
      </w:tblGrid>
      <w:tr w:rsidR="00503B7C" w:rsidRPr="00503B7C" w:rsidTr="00DA50F1">
        <w:trPr>
          <w:trHeight w:val="340"/>
        </w:trPr>
        <w:tc>
          <w:tcPr>
            <w:tcW w:w="1043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43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Доза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5950CE" w:rsidP="00503B7C">
            <w:pPr>
              <w:pStyle w:val="TableParagraph"/>
              <w:spacing w:before="62"/>
              <w:ind w:left="0" w:right="95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 xml:space="preserve">ХС </w:t>
            </w:r>
            <w:r w:rsidR="008B1A5F" w:rsidRPr="00503B7C">
              <w:rPr>
                <w:b/>
                <w:bCs/>
                <w:sz w:val="24"/>
                <w:szCs w:val="24"/>
              </w:rPr>
              <w:t>-ЛПНП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96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Общий холестерин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5950CE" w:rsidP="00503B7C">
            <w:pPr>
              <w:pStyle w:val="TableParagraph"/>
              <w:spacing w:before="62"/>
              <w:ind w:left="0" w:right="100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 xml:space="preserve">ХС </w:t>
            </w:r>
            <w:r w:rsidR="008B1A5F" w:rsidRPr="00503B7C">
              <w:rPr>
                <w:b/>
                <w:bCs/>
                <w:sz w:val="24"/>
                <w:szCs w:val="24"/>
              </w:rPr>
              <w:t>-ЛПВП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05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Тригли-церид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950CE" w:rsidRPr="00503B7C" w:rsidRDefault="005950CE" w:rsidP="00503B7C">
            <w:pPr>
              <w:pStyle w:val="TableParagraph"/>
              <w:spacing w:before="62"/>
              <w:ind w:left="0" w:right="93"/>
              <w:jc w:val="both"/>
              <w:rPr>
                <w:b/>
                <w:bCs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ХС-</w:t>
            </w:r>
          </w:p>
          <w:p w:rsidR="008B1A5F" w:rsidRPr="00503B7C" w:rsidRDefault="005950CE" w:rsidP="00503B7C">
            <w:pPr>
              <w:pStyle w:val="TableParagraph"/>
              <w:spacing w:before="62"/>
              <w:ind w:left="0" w:right="93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неЛПВП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5950CE" w:rsidP="00503B7C">
            <w:pPr>
              <w:pStyle w:val="TableParagraph"/>
              <w:spacing w:before="62"/>
              <w:ind w:left="0" w:right="106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Апо</w:t>
            </w:r>
            <w:r w:rsidR="008B1A5F" w:rsidRPr="00503B7C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8B1A5F" w:rsidRPr="00503B7C" w:rsidRDefault="005950CE" w:rsidP="00503B7C">
            <w:pPr>
              <w:pStyle w:val="TableParagraph"/>
              <w:spacing w:before="62"/>
              <w:ind w:left="0" w:right="126"/>
              <w:jc w:val="both"/>
              <w:rPr>
                <w:b/>
                <w:sz w:val="24"/>
                <w:szCs w:val="24"/>
              </w:rPr>
            </w:pPr>
            <w:r w:rsidRPr="00503B7C">
              <w:rPr>
                <w:b/>
                <w:bCs/>
                <w:sz w:val="24"/>
                <w:szCs w:val="24"/>
              </w:rPr>
              <w:t>Апо</w:t>
            </w:r>
            <w:r w:rsidR="008B1A5F" w:rsidRPr="00503B7C">
              <w:rPr>
                <w:b/>
                <w:bCs/>
                <w:sz w:val="24"/>
                <w:szCs w:val="24"/>
              </w:rPr>
              <w:t>A-I</w:t>
            </w:r>
          </w:p>
        </w:tc>
      </w:tr>
      <w:tr w:rsidR="00503B7C" w:rsidRPr="00503B7C" w:rsidTr="00DA50F1">
        <w:trPr>
          <w:trHeight w:val="351"/>
        </w:trPr>
        <w:tc>
          <w:tcPr>
            <w:tcW w:w="1043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43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Плацебо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07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92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–7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96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–5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0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93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–7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93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62"/>
              <w:ind w:left="0" w:right="14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0</w:t>
            </w:r>
          </w:p>
        </w:tc>
      </w:tr>
      <w:tr w:rsidR="00503B7C" w:rsidRPr="00503B7C" w:rsidTr="00DA50F1">
        <w:trPr>
          <w:trHeight w:val="340"/>
        </w:trPr>
        <w:tc>
          <w:tcPr>
            <w:tcW w:w="104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7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–45</w:t>
            </w:r>
          </w:p>
        </w:tc>
        <w:tc>
          <w:tcPr>
            <w:tcW w:w="1275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6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–33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–35</w:t>
            </w:r>
          </w:p>
        </w:tc>
        <w:tc>
          <w:tcPr>
            <w:tcW w:w="1417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89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–44</w:t>
            </w:r>
          </w:p>
        </w:tc>
        <w:tc>
          <w:tcPr>
            <w:tcW w:w="709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8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–38</w:t>
            </w:r>
          </w:p>
        </w:tc>
        <w:tc>
          <w:tcPr>
            <w:tcW w:w="992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4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4</w:t>
            </w:r>
          </w:p>
        </w:tc>
      </w:tr>
      <w:tr w:rsidR="00503B7C" w:rsidRPr="00503B7C" w:rsidTr="00DA50F1">
        <w:trPr>
          <w:trHeight w:val="340"/>
        </w:trPr>
        <w:tc>
          <w:tcPr>
            <w:tcW w:w="104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42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7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–52</w:t>
            </w:r>
          </w:p>
        </w:tc>
        <w:tc>
          <w:tcPr>
            <w:tcW w:w="1275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6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–36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–10</w:t>
            </w:r>
          </w:p>
        </w:tc>
        <w:tc>
          <w:tcPr>
            <w:tcW w:w="1417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89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–48</w:t>
            </w:r>
          </w:p>
        </w:tc>
        <w:tc>
          <w:tcPr>
            <w:tcW w:w="709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8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–42</w:t>
            </w:r>
          </w:p>
        </w:tc>
        <w:tc>
          <w:tcPr>
            <w:tcW w:w="992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4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4</w:t>
            </w:r>
          </w:p>
        </w:tc>
      </w:tr>
      <w:tr w:rsidR="00503B7C" w:rsidRPr="00503B7C" w:rsidTr="00DA50F1">
        <w:trPr>
          <w:trHeight w:val="338"/>
        </w:trPr>
        <w:tc>
          <w:tcPr>
            <w:tcW w:w="104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42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7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–55</w:t>
            </w:r>
          </w:p>
        </w:tc>
        <w:tc>
          <w:tcPr>
            <w:tcW w:w="1275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6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–40</w:t>
            </w:r>
          </w:p>
        </w:tc>
        <w:tc>
          <w:tcPr>
            <w:tcW w:w="1134" w:type="dxa"/>
          </w:tcPr>
          <w:p w:rsidR="008B1A5F" w:rsidRPr="00503B7C" w:rsidRDefault="008B1A5F" w:rsidP="00503B7C">
            <w:pPr>
              <w:pStyle w:val="TableParagraph"/>
              <w:spacing w:before="51"/>
              <w:ind w:left="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0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–23</w:t>
            </w:r>
          </w:p>
        </w:tc>
        <w:tc>
          <w:tcPr>
            <w:tcW w:w="1417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89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–51</w:t>
            </w:r>
          </w:p>
        </w:tc>
        <w:tc>
          <w:tcPr>
            <w:tcW w:w="709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98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–46</w:t>
            </w:r>
          </w:p>
        </w:tc>
        <w:tc>
          <w:tcPr>
            <w:tcW w:w="992" w:type="dxa"/>
          </w:tcPr>
          <w:p w:rsidR="008B1A5F" w:rsidRPr="00503B7C" w:rsidRDefault="008B1A5F" w:rsidP="00503B7C">
            <w:pPr>
              <w:pStyle w:val="TableParagraph"/>
              <w:spacing w:before="51"/>
              <w:ind w:left="0" w:right="14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5</w:t>
            </w:r>
          </w:p>
        </w:tc>
      </w:tr>
      <w:tr w:rsidR="008B1A5F" w:rsidRPr="00503B7C" w:rsidTr="00DA50F1">
        <w:trPr>
          <w:trHeight w:val="327"/>
        </w:trPr>
        <w:tc>
          <w:tcPr>
            <w:tcW w:w="1043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142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107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9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–63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96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–46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100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105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–28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89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–60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98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–54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B1A5F" w:rsidRPr="00503B7C" w:rsidRDefault="008B1A5F" w:rsidP="00503B7C">
            <w:pPr>
              <w:pStyle w:val="TableParagraph"/>
              <w:spacing w:before="49"/>
              <w:ind w:left="0" w:right="14"/>
              <w:jc w:val="both"/>
              <w:rPr>
                <w:sz w:val="24"/>
                <w:szCs w:val="24"/>
              </w:rPr>
            </w:pPr>
            <w:r w:rsidRPr="00503B7C">
              <w:rPr>
                <w:sz w:val="24"/>
                <w:szCs w:val="24"/>
              </w:rPr>
              <w:t>0</w:t>
            </w:r>
          </w:p>
        </w:tc>
      </w:tr>
    </w:tbl>
    <w:p w:rsidR="008B1A5F" w:rsidRPr="00503B7C" w:rsidRDefault="008B1A5F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7717" w:rsidRPr="00503B7C" w:rsidRDefault="004E222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Терапевтический эффект появляется в течение одной недели после начала терапии </w:t>
      </w:r>
      <w:r w:rsidR="008A3433">
        <w:rPr>
          <w:rFonts w:ascii="Times New Roman" w:hAnsi="Times New Roman" w:cs="Times New Roman"/>
          <w:sz w:val="24"/>
          <w:szCs w:val="24"/>
        </w:rPr>
        <w:t>р</w:t>
      </w:r>
      <w:r w:rsidR="008A3433" w:rsidRPr="008A3433">
        <w:rPr>
          <w:rFonts w:ascii="Times New Roman" w:hAnsi="Times New Roman" w:cs="Times New Roman"/>
          <w:sz w:val="24"/>
          <w:szCs w:val="24"/>
        </w:rPr>
        <w:t>озувастатин</w:t>
      </w:r>
      <w:r w:rsidR="008A3433">
        <w:rPr>
          <w:rFonts w:ascii="Times New Roman" w:hAnsi="Times New Roman" w:cs="Times New Roman"/>
          <w:sz w:val="24"/>
          <w:szCs w:val="24"/>
        </w:rPr>
        <w:t>ом</w:t>
      </w:r>
      <w:r w:rsidRPr="00503B7C">
        <w:rPr>
          <w:rFonts w:ascii="Times New Roman" w:hAnsi="Times New Roman" w:cs="Times New Roman"/>
          <w:sz w:val="24"/>
          <w:szCs w:val="24"/>
        </w:rPr>
        <w:t xml:space="preserve">, </w:t>
      </w:r>
      <w:r w:rsidR="00DC7D02" w:rsidRPr="00503B7C">
        <w:rPr>
          <w:rFonts w:ascii="Times New Roman" w:hAnsi="Times New Roman" w:cs="Times New Roman"/>
          <w:sz w:val="24"/>
          <w:szCs w:val="24"/>
        </w:rPr>
        <w:t xml:space="preserve">и </w:t>
      </w:r>
      <w:r w:rsidRPr="00503B7C">
        <w:rPr>
          <w:rFonts w:ascii="Times New Roman" w:hAnsi="Times New Roman" w:cs="Times New Roman"/>
          <w:sz w:val="24"/>
          <w:szCs w:val="24"/>
        </w:rPr>
        <w:t>через 2 недели лечения достигает</w:t>
      </w:r>
      <w:r w:rsidR="00DC7D02" w:rsidRPr="00503B7C">
        <w:rPr>
          <w:rFonts w:ascii="Times New Roman" w:hAnsi="Times New Roman" w:cs="Times New Roman"/>
          <w:sz w:val="24"/>
          <w:szCs w:val="24"/>
        </w:rPr>
        <w:t>ся</w:t>
      </w:r>
      <w:r w:rsidRPr="00503B7C">
        <w:rPr>
          <w:rFonts w:ascii="Times New Roman" w:hAnsi="Times New Roman" w:cs="Times New Roman"/>
          <w:sz w:val="24"/>
          <w:szCs w:val="24"/>
        </w:rPr>
        <w:t xml:space="preserve"> 90% от максимально возможного эффекта. Максимальный терапевтический эффект обычно достигается к 4-ой неделе и поддерживается при регулярном приёме. </w:t>
      </w:r>
    </w:p>
    <w:p w:rsidR="00E37717" w:rsidRPr="00503B7C" w:rsidRDefault="00E3771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>Клиническая эффективность и безопасность</w:t>
      </w:r>
    </w:p>
    <w:p w:rsidR="0090637E" w:rsidRPr="00503B7C" w:rsidRDefault="008A3433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433">
        <w:rPr>
          <w:rFonts w:ascii="Times New Roman" w:hAnsi="Times New Roman" w:cs="Times New Roman"/>
          <w:sz w:val="24"/>
          <w:szCs w:val="24"/>
        </w:rPr>
        <w:t>Розувастатин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="00480EC7" w:rsidRPr="00503B7C">
        <w:rPr>
          <w:rFonts w:ascii="Times New Roman" w:hAnsi="Times New Roman" w:cs="Times New Roman"/>
          <w:sz w:val="24"/>
          <w:szCs w:val="24"/>
        </w:rPr>
        <w:t>эффективен у взрослых пациентов с гиперхолестеринемией с или без гипертриглицеридемии, вне зависимости от расы, пола или возраста, и для особых групп пациентов, например пациентов с сахарным диабетом или пациентов семейной гиперхолестеринемией.</w:t>
      </w:r>
    </w:p>
    <w:p w:rsidR="002B5CDE" w:rsidRPr="00503B7C" w:rsidRDefault="002B5CD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Согласно объединенным данным III фазы исследований, </w:t>
      </w:r>
      <w:r w:rsidR="008A3433">
        <w:rPr>
          <w:rFonts w:ascii="Times New Roman" w:hAnsi="Times New Roman" w:cs="Times New Roman"/>
          <w:sz w:val="24"/>
          <w:szCs w:val="24"/>
        </w:rPr>
        <w:t>р</w:t>
      </w:r>
      <w:r w:rsidR="008A3433" w:rsidRPr="008A3433">
        <w:rPr>
          <w:rFonts w:ascii="Times New Roman" w:hAnsi="Times New Roman" w:cs="Times New Roman"/>
          <w:sz w:val="24"/>
          <w:szCs w:val="24"/>
        </w:rPr>
        <w:t>озувастатин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продемонстрировал эффективность при лечении большинства пациентов с гиперхолестеринемией типа IIa и IIb (среднее исходное значение </w:t>
      </w:r>
      <w:r w:rsidR="006A310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 около 4,8 ммоль/л)</w:t>
      </w:r>
      <w:r w:rsidR="00DC5ED9" w:rsidRPr="00503B7C">
        <w:rPr>
          <w:rFonts w:ascii="Times New Roman" w:hAnsi="Times New Roman" w:cs="Times New Roman"/>
          <w:sz w:val="24"/>
          <w:szCs w:val="24"/>
        </w:rPr>
        <w:t xml:space="preserve"> которые являются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="00640019" w:rsidRPr="00503B7C">
        <w:rPr>
          <w:rFonts w:ascii="Times New Roman" w:hAnsi="Times New Roman" w:cs="Times New Roman"/>
          <w:sz w:val="24"/>
          <w:szCs w:val="24"/>
        </w:rPr>
        <w:t>целевыми</w:t>
      </w:r>
      <w:r w:rsidR="00DC5ED9" w:rsidRPr="00503B7C">
        <w:rPr>
          <w:rFonts w:ascii="Times New Roman" w:hAnsi="Times New Roman" w:cs="Times New Roman"/>
          <w:sz w:val="24"/>
          <w:szCs w:val="24"/>
        </w:rPr>
        <w:t xml:space="preserve"> ориентирами Европейского общества по изучению атеросклероза (EAS; 1998</w:t>
      </w:r>
      <w:r w:rsidRPr="00503B7C">
        <w:rPr>
          <w:rFonts w:ascii="Times New Roman" w:hAnsi="Times New Roman" w:cs="Times New Roman"/>
          <w:sz w:val="24"/>
          <w:szCs w:val="24"/>
        </w:rPr>
        <w:t>)</w:t>
      </w:r>
      <w:r w:rsidR="00DC5ED9" w:rsidRPr="00503B7C">
        <w:rPr>
          <w:rFonts w:ascii="Times New Roman" w:hAnsi="Times New Roman" w:cs="Times New Roman"/>
          <w:sz w:val="24"/>
          <w:szCs w:val="24"/>
        </w:rPr>
        <w:t>.О</w:t>
      </w:r>
      <w:r w:rsidRPr="00503B7C">
        <w:rPr>
          <w:rFonts w:ascii="Times New Roman" w:hAnsi="Times New Roman" w:cs="Times New Roman"/>
          <w:sz w:val="24"/>
          <w:szCs w:val="24"/>
        </w:rPr>
        <w:t xml:space="preserve">коло 80 % пациентов, получавших лечение </w:t>
      </w:r>
      <w:r w:rsidR="00DC5ED9" w:rsidRPr="00503B7C">
        <w:rPr>
          <w:rFonts w:ascii="Times New Roman" w:hAnsi="Times New Roman" w:cs="Times New Roman"/>
          <w:sz w:val="24"/>
          <w:szCs w:val="24"/>
        </w:rPr>
        <w:t xml:space="preserve">препаратом в </w:t>
      </w:r>
      <w:r w:rsidRPr="00503B7C">
        <w:rPr>
          <w:rFonts w:ascii="Times New Roman" w:hAnsi="Times New Roman" w:cs="Times New Roman"/>
          <w:sz w:val="24"/>
          <w:szCs w:val="24"/>
        </w:rPr>
        <w:t>доз</w:t>
      </w:r>
      <w:r w:rsidR="00DC5ED9" w:rsidRPr="00503B7C">
        <w:rPr>
          <w:rFonts w:ascii="Times New Roman" w:hAnsi="Times New Roman" w:cs="Times New Roman"/>
          <w:sz w:val="24"/>
          <w:szCs w:val="24"/>
        </w:rPr>
        <w:t>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10 мг, достигли целевых показателей E</w:t>
      </w:r>
      <w:r w:rsidR="00DC5ED9" w:rsidRPr="00503B7C">
        <w:rPr>
          <w:rFonts w:ascii="Times New Roman" w:hAnsi="Times New Roman" w:cs="Times New Roman"/>
          <w:sz w:val="24"/>
          <w:szCs w:val="24"/>
        </w:rPr>
        <w:t>A</w:t>
      </w:r>
      <w:r w:rsidRPr="00503B7C">
        <w:rPr>
          <w:rFonts w:ascii="Times New Roman" w:hAnsi="Times New Roman" w:cs="Times New Roman"/>
          <w:sz w:val="24"/>
          <w:szCs w:val="24"/>
        </w:rPr>
        <w:t xml:space="preserve">S для уровней </w:t>
      </w:r>
      <w:r w:rsidR="006A310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 (&lt; 3 ммоль/л).</w:t>
      </w:r>
    </w:p>
    <w:p w:rsidR="00E728F5" w:rsidRPr="00503B7C" w:rsidRDefault="00E728F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крупном исследовании при участии 435 пациентов с гетерозиготной семейной гиперхолестеринемией</w:t>
      </w:r>
      <w:r w:rsidR="00640019" w:rsidRPr="00503B7C">
        <w:rPr>
          <w:rFonts w:ascii="Times New Roman" w:hAnsi="Times New Roman" w:cs="Times New Roman"/>
          <w:sz w:val="24"/>
          <w:szCs w:val="24"/>
        </w:rPr>
        <w:t xml:space="preserve">, пациенты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получали </w:t>
      </w:r>
      <w:r w:rsidR="008A3433" w:rsidRPr="008A3433">
        <w:rPr>
          <w:rFonts w:ascii="Times New Roman" w:hAnsi="Times New Roman" w:cs="Times New Roman"/>
          <w:sz w:val="24"/>
          <w:szCs w:val="24"/>
        </w:rPr>
        <w:t>розувастатин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="00640019" w:rsidRPr="00503B7C">
        <w:rPr>
          <w:rFonts w:ascii="Times New Roman" w:hAnsi="Times New Roman" w:cs="Times New Roman"/>
          <w:sz w:val="24"/>
          <w:szCs w:val="24"/>
        </w:rPr>
        <w:t xml:space="preserve">в </w:t>
      </w:r>
      <w:r w:rsidRPr="00503B7C">
        <w:rPr>
          <w:rFonts w:ascii="Times New Roman" w:hAnsi="Times New Roman" w:cs="Times New Roman"/>
          <w:sz w:val="24"/>
          <w:szCs w:val="24"/>
        </w:rPr>
        <w:t>дозиров</w:t>
      </w:r>
      <w:r w:rsidR="00640019" w:rsidRPr="00503B7C">
        <w:rPr>
          <w:rFonts w:ascii="Times New Roman" w:hAnsi="Times New Roman" w:cs="Times New Roman"/>
          <w:sz w:val="24"/>
          <w:szCs w:val="24"/>
        </w:rPr>
        <w:t>ке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от 20 до 80 мг в режиме усиленной титрации. Все дозы продемонстрировали положительное влияние на параметры липидов и лечение для достижения целевых показателей. После титрации до ежедневной дозировки 40 мг (12 недель лечения) </w:t>
      </w:r>
      <w:r w:rsidR="00640019" w:rsidRPr="00503B7C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6A310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-ЛПНП снизился на 53 %. 33 % </w:t>
      </w:r>
      <w:r w:rsidR="00C625DB" w:rsidRPr="00503B7C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Pr="00503B7C">
        <w:rPr>
          <w:rFonts w:ascii="Times New Roman" w:hAnsi="Times New Roman" w:cs="Times New Roman"/>
          <w:sz w:val="24"/>
          <w:szCs w:val="24"/>
        </w:rPr>
        <w:t>достигли показателей</w:t>
      </w:r>
      <w:r w:rsidR="002F5B83" w:rsidRPr="00503B7C">
        <w:rPr>
          <w:rFonts w:ascii="Times New Roman" w:hAnsi="Times New Roman" w:cs="Times New Roman"/>
          <w:sz w:val="24"/>
          <w:szCs w:val="24"/>
        </w:rPr>
        <w:t>,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="00C625DB" w:rsidRPr="00503B7C">
        <w:rPr>
          <w:rFonts w:ascii="Times New Roman" w:hAnsi="Times New Roman" w:cs="Times New Roman"/>
          <w:sz w:val="24"/>
          <w:szCs w:val="24"/>
        </w:rPr>
        <w:t xml:space="preserve">регламентируемых </w:t>
      </w:r>
      <w:r w:rsidRPr="00503B7C">
        <w:rPr>
          <w:rFonts w:ascii="Times New Roman" w:hAnsi="Times New Roman" w:cs="Times New Roman"/>
          <w:sz w:val="24"/>
          <w:szCs w:val="24"/>
        </w:rPr>
        <w:t>руководств</w:t>
      </w:r>
      <w:r w:rsidR="00C625DB" w:rsidRPr="00503B7C">
        <w:rPr>
          <w:rFonts w:ascii="Times New Roman" w:hAnsi="Times New Roman" w:cs="Times New Roman"/>
          <w:sz w:val="24"/>
          <w:szCs w:val="24"/>
        </w:rPr>
        <w:t>ом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EAS для уровней </w:t>
      </w:r>
      <w:r w:rsidR="006A310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-ЛПНП(&lt; 3 ммоль/л).</w:t>
      </w:r>
    </w:p>
    <w:p w:rsidR="005950CE" w:rsidRPr="00503B7C" w:rsidRDefault="005950C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В рамках открытого исследования с усиленным титрованием проводилась оценка ответа на </w:t>
      </w:r>
      <w:r w:rsidR="008A3433" w:rsidRPr="008A3433">
        <w:rPr>
          <w:rFonts w:ascii="Times New Roman" w:hAnsi="Times New Roman" w:cs="Times New Roman"/>
          <w:sz w:val="24"/>
          <w:szCs w:val="24"/>
        </w:rPr>
        <w:t>розувастатин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в дозировке от 20 до 40 мг у 42 пациентов (включая 8 пациентов детского возраста), страдающих гомозиготной семейной гиперхолестеринемией. В общей популяции среднее снижение уровня </w:t>
      </w:r>
      <w:r w:rsidR="002E2A96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 составило 22 %.</w:t>
      </w:r>
    </w:p>
    <w:p w:rsidR="005950CE" w:rsidRPr="00503B7C" w:rsidRDefault="005950C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В ходе клинических исследований с ограниченным количеством пациентов </w:t>
      </w:r>
      <w:r w:rsidR="008A3433" w:rsidRPr="008A3433">
        <w:rPr>
          <w:rFonts w:ascii="Times New Roman" w:hAnsi="Times New Roman" w:cs="Times New Roman"/>
          <w:sz w:val="24"/>
          <w:szCs w:val="24"/>
        </w:rPr>
        <w:t>розувастатин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продемонстрировал наличие дополнительной эффективности при снижении уровня триглицеридов при использовании в сочетании с фенофибратом</w:t>
      </w:r>
      <w:r w:rsidR="002010FF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при повышении уровней </w:t>
      </w:r>
      <w:r w:rsidR="002010FF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-ЛПВП в сочетании с ниацин</w:t>
      </w:r>
      <w:r w:rsidR="002010FF" w:rsidRPr="00503B7C">
        <w:rPr>
          <w:rFonts w:ascii="Times New Roman" w:hAnsi="Times New Roman" w:cs="Times New Roman"/>
          <w:sz w:val="24"/>
          <w:szCs w:val="24"/>
        </w:rPr>
        <w:t>ом.</w:t>
      </w:r>
    </w:p>
    <w:p w:rsidR="0006719E" w:rsidRPr="00503B7C" w:rsidRDefault="0006719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мультицентровом двойном слепом плацебо</w:t>
      </w:r>
      <w:r w:rsidR="00344159" w:rsidRPr="00503B7C">
        <w:rPr>
          <w:rFonts w:ascii="Times New Roman" w:hAnsi="Times New Roman" w:cs="Times New Roman"/>
          <w:sz w:val="24"/>
          <w:szCs w:val="24"/>
        </w:rPr>
        <w:t>-</w:t>
      </w:r>
      <w:r w:rsidRPr="00503B7C">
        <w:rPr>
          <w:rFonts w:ascii="Times New Roman" w:hAnsi="Times New Roman" w:cs="Times New Roman"/>
          <w:sz w:val="24"/>
          <w:szCs w:val="24"/>
        </w:rPr>
        <w:t>контр</w:t>
      </w:r>
      <w:r w:rsidR="00AD2566" w:rsidRPr="00503B7C">
        <w:rPr>
          <w:rFonts w:ascii="Times New Roman" w:hAnsi="Times New Roman" w:cs="Times New Roman"/>
          <w:sz w:val="24"/>
          <w:szCs w:val="24"/>
        </w:rPr>
        <w:t>олир</w:t>
      </w:r>
      <w:r w:rsidRPr="00503B7C">
        <w:rPr>
          <w:rFonts w:ascii="Times New Roman" w:hAnsi="Times New Roman" w:cs="Times New Roman"/>
          <w:sz w:val="24"/>
          <w:szCs w:val="24"/>
        </w:rPr>
        <w:t>уемом клиническом исследовании (METEOR) 984 пациента в возрасте от 45 до 70 лет</w:t>
      </w:r>
      <w:r w:rsidR="00AD2566" w:rsidRPr="00503B7C">
        <w:rPr>
          <w:rFonts w:ascii="Times New Roman" w:hAnsi="Times New Roman" w:cs="Times New Roman"/>
          <w:sz w:val="24"/>
          <w:szCs w:val="24"/>
        </w:rPr>
        <w:t xml:space="preserve">, </w:t>
      </w:r>
      <w:r w:rsidRPr="00503B7C">
        <w:rPr>
          <w:rFonts w:ascii="Times New Roman" w:hAnsi="Times New Roman" w:cs="Times New Roman"/>
          <w:sz w:val="24"/>
          <w:szCs w:val="24"/>
        </w:rPr>
        <w:t>низким риском развития ишемической болезни сердца (определяется по Фрамингемской шкале риска &lt; 10 % на протяжении 10 лет), со средним уровнем ХС-ЛПНП 4,0 ммоль/л (154,5 мг/дл), но с субклиническим атеросклерозом (определяемым по толщине интимо-медиального слоя сонной артерии) были рандомизированы в групп</w:t>
      </w:r>
      <w:r w:rsidR="00AD2566" w:rsidRPr="00503B7C">
        <w:rPr>
          <w:rFonts w:ascii="Times New Roman" w:hAnsi="Times New Roman" w:cs="Times New Roman"/>
          <w:sz w:val="24"/>
          <w:szCs w:val="24"/>
        </w:rPr>
        <w:t>у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 применением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розувастатина в дозе до 40 мг один раз в день </w:t>
      </w:r>
      <w:r w:rsidR="00AD2566" w:rsidRPr="00503B7C">
        <w:rPr>
          <w:rFonts w:ascii="Times New Roman" w:hAnsi="Times New Roman" w:cs="Times New Roman"/>
          <w:sz w:val="24"/>
          <w:szCs w:val="24"/>
        </w:rPr>
        <w:t>и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="00AD2566" w:rsidRPr="00503B7C">
        <w:rPr>
          <w:rFonts w:ascii="Times New Roman" w:hAnsi="Times New Roman" w:cs="Times New Roman"/>
          <w:sz w:val="24"/>
          <w:szCs w:val="24"/>
        </w:rPr>
        <w:t xml:space="preserve">группу </w:t>
      </w:r>
      <w:r w:rsidRPr="00503B7C">
        <w:rPr>
          <w:rFonts w:ascii="Times New Roman" w:hAnsi="Times New Roman" w:cs="Times New Roman"/>
          <w:sz w:val="24"/>
          <w:szCs w:val="24"/>
        </w:rPr>
        <w:t>с приемом плацебо на протяжении 2 лет.</w:t>
      </w:r>
    </w:p>
    <w:p w:rsidR="0006719E" w:rsidRPr="00503B7C" w:rsidRDefault="0006719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lastRenderedPageBreak/>
        <w:t>Розувастатин существенно замедл</w:t>
      </w:r>
      <w:r w:rsidR="00AD2566" w:rsidRPr="00503B7C">
        <w:rPr>
          <w:rFonts w:ascii="Times New Roman" w:hAnsi="Times New Roman" w:cs="Times New Roman"/>
          <w:sz w:val="24"/>
          <w:szCs w:val="24"/>
        </w:rPr>
        <w:t>я</w:t>
      </w:r>
      <w:r w:rsidRPr="00503B7C">
        <w:rPr>
          <w:rFonts w:ascii="Times New Roman" w:hAnsi="Times New Roman" w:cs="Times New Roman"/>
          <w:sz w:val="24"/>
          <w:szCs w:val="24"/>
        </w:rPr>
        <w:t>л скорость прогрессирования максимальной толщины комплекса интима-медиа 12</w:t>
      </w:r>
      <w:r w:rsidR="00AD2566" w:rsidRPr="00503B7C">
        <w:rPr>
          <w:rFonts w:ascii="Times New Roman" w:hAnsi="Times New Roman" w:cs="Times New Roman"/>
          <w:sz w:val="24"/>
          <w:szCs w:val="24"/>
        </w:rPr>
        <w:t>-ти</w:t>
      </w:r>
      <w:r w:rsidRPr="00503B7C">
        <w:rPr>
          <w:rFonts w:ascii="Times New Roman" w:hAnsi="Times New Roman" w:cs="Times New Roman"/>
          <w:sz w:val="24"/>
          <w:szCs w:val="24"/>
        </w:rPr>
        <w:t xml:space="preserve"> зон сонной артерии по сравнению с плацебо на </w:t>
      </w:r>
      <w:r w:rsidR="00AD2566" w:rsidRPr="00503B7C">
        <w:rPr>
          <w:rFonts w:ascii="Times New Roman" w:hAnsi="Times New Roman" w:cs="Times New Roman"/>
          <w:sz w:val="24"/>
          <w:szCs w:val="24"/>
        </w:rPr>
        <w:t xml:space="preserve">- </w:t>
      </w:r>
      <w:r w:rsidRPr="00503B7C">
        <w:rPr>
          <w:rFonts w:ascii="Times New Roman" w:hAnsi="Times New Roman" w:cs="Times New Roman"/>
          <w:sz w:val="24"/>
          <w:szCs w:val="24"/>
        </w:rPr>
        <w:t xml:space="preserve">0,0145 мм/год </w:t>
      </w:r>
      <w:r w:rsidR="00AD2566" w:rsidRPr="00503B7C">
        <w:rPr>
          <w:rFonts w:ascii="Times New Roman" w:hAnsi="Times New Roman" w:cs="Times New Roman"/>
          <w:sz w:val="24"/>
          <w:szCs w:val="24"/>
        </w:rPr>
        <w:t>(ДИ</w:t>
      </w:r>
      <w:r w:rsidRPr="00503B7C">
        <w:rPr>
          <w:rFonts w:ascii="Times New Roman" w:hAnsi="Times New Roman" w:cs="Times New Roman"/>
          <w:sz w:val="24"/>
          <w:szCs w:val="24"/>
        </w:rPr>
        <w:t xml:space="preserve"> 95 % –0,0196, –0,0093; Р &lt; 0,0001</w:t>
      </w:r>
      <w:r w:rsidR="00AD2566" w:rsidRPr="00503B7C">
        <w:rPr>
          <w:rFonts w:ascii="Times New Roman" w:hAnsi="Times New Roman" w:cs="Times New Roman"/>
          <w:sz w:val="24"/>
          <w:szCs w:val="24"/>
        </w:rPr>
        <w:t>)</w:t>
      </w:r>
      <w:r w:rsidRPr="00503B7C">
        <w:rPr>
          <w:rFonts w:ascii="Times New Roman" w:hAnsi="Times New Roman" w:cs="Times New Roman"/>
          <w:sz w:val="24"/>
          <w:szCs w:val="24"/>
        </w:rPr>
        <w:t>. Изменение по сравнению с исходным уровнем составило –0,0014 мм/год (–0,12 %/год</w:t>
      </w:r>
      <w:r w:rsidR="00AD2566" w:rsidRPr="00503B7C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Pr="00503B7C">
        <w:rPr>
          <w:rFonts w:ascii="Times New Roman" w:hAnsi="Times New Roman" w:cs="Times New Roman"/>
          <w:sz w:val="24"/>
          <w:szCs w:val="24"/>
        </w:rPr>
        <w:t>не существенн</w:t>
      </w:r>
      <w:r w:rsidR="00AD2566" w:rsidRPr="00503B7C">
        <w:rPr>
          <w:rFonts w:ascii="Times New Roman" w:hAnsi="Times New Roman" w:cs="Times New Roman"/>
          <w:sz w:val="24"/>
          <w:szCs w:val="24"/>
        </w:rPr>
        <w:t>ым</w:t>
      </w:r>
      <w:r w:rsidRPr="00503B7C">
        <w:rPr>
          <w:rFonts w:ascii="Times New Roman" w:hAnsi="Times New Roman" w:cs="Times New Roman"/>
          <w:sz w:val="24"/>
          <w:szCs w:val="24"/>
        </w:rPr>
        <w:t xml:space="preserve">) </w:t>
      </w:r>
      <w:r w:rsidR="00AD2566" w:rsidRPr="00503B7C">
        <w:rPr>
          <w:rFonts w:ascii="Times New Roman" w:hAnsi="Times New Roman" w:cs="Times New Roman"/>
          <w:sz w:val="24"/>
          <w:szCs w:val="24"/>
        </w:rPr>
        <w:t>в группе</w:t>
      </w:r>
      <w:r w:rsidR="002F1C61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розувастатина по сравнению с прогрессированием на +0,0131 мм/год (1,12 %/год (p &lt; 0,0001)) </w:t>
      </w:r>
      <w:r w:rsidR="00AD2566" w:rsidRPr="00503B7C">
        <w:rPr>
          <w:rFonts w:ascii="Times New Roman" w:hAnsi="Times New Roman" w:cs="Times New Roman"/>
          <w:sz w:val="24"/>
          <w:szCs w:val="24"/>
        </w:rPr>
        <w:t>в группе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плацебо. На данный момент не было обнаружено прямой корреляции между уменьшением толщины комплекса интима-медиа и снижением риска возникновения сердечно-сосудистых заболеваний. Популяция, изучаемая в рамках исследования METEOR, находится в зоне низкого риска заболевания ишемической болезнью сердца и не является целевой популяцией для лечения </w:t>
      </w:r>
      <w:r w:rsidR="00D858EC" w:rsidRPr="00D858EC">
        <w:rPr>
          <w:rFonts w:ascii="Times New Roman" w:hAnsi="Times New Roman" w:cs="Times New Roman"/>
          <w:sz w:val="24"/>
          <w:szCs w:val="24"/>
        </w:rPr>
        <w:t>розувастатин</w:t>
      </w:r>
      <w:r w:rsidR="00D858EC">
        <w:rPr>
          <w:rFonts w:ascii="Times New Roman" w:hAnsi="Times New Roman" w:cs="Times New Roman"/>
          <w:sz w:val="24"/>
          <w:szCs w:val="24"/>
        </w:rPr>
        <w:t>ом</w:t>
      </w:r>
      <w:r w:rsidR="00DE36ED">
        <w:rPr>
          <w:rFonts w:ascii="Times New Roman" w:hAnsi="Times New Roman" w:cs="Times New Roman"/>
          <w:sz w:val="24"/>
          <w:szCs w:val="24"/>
        </w:rPr>
        <w:t xml:space="preserve"> </w:t>
      </w:r>
      <w:r w:rsidR="00D81ACA" w:rsidRPr="00503B7C">
        <w:rPr>
          <w:rFonts w:ascii="Times New Roman" w:hAnsi="Times New Roman" w:cs="Times New Roman"/>
          <w:sz w:val="24"/>
          <w:szCs w:val="24"/>
        </w:rPr>
        <w:t xml:space="preserve">в </w:t>
      </w:r>
      <w:r w:rsidRPr="00503B7C">
        <w:rPr>
          <w:rFonts w:ascii="Times New Roman" w:hAnsi="Times New Roman" w:cs="Times New Roman"/>
          <w:sz w:val="24"/>
          <w:szCs w:val="24"/>
        </w:rPr>
        <w:t>дозиров</w:t>
      </w:r>
      <w:r w:rsidR="00D81ACA" w:rsidRPr="00503B7C">
        <w:rPr>
          <w:rFonts w:ascii="Times New Roman" w:hAnsi="Times New Roman" w:cs="Times New Roman"/>
          <w:sz w:val="24"/>
          <w:szCs w:val="24"/>
        </w:rPr>
        <w:t>ке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40 мг. Доза 40 мг должна быть назначена только пациентам с тяжелой гиперхолестеринемией при высоком риске сердечно-сосудистых заболеваний.</w:t>
      </w:r>
    </w:p>
    <w:p w:rsidR="006F6094" w:rsidRPr="00503B7C" w:rsidRDefault="006F6094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обоснование использования статинов для первичной профилактики, в рамках интервенционного исследования оценки розувастатина (JUPITER) была произведена оценка влияния розувастатина на возникновение основных явлений сердечн</w:t>
      </w:r>
      <w:r w:rsidR="00573B69" w:rsidRPr="00503B7C">
        <w:rPr>
          <w:rFonts w:ascii="Times New Roman" w:hAnsi="Times New Roman" w:cs="Times New Roman"/>
          <w:sz w:val="24"/>
          <w:szCs w:val="24"/>
        </w:rPr>
        <w:t>о-с</w:t>
      </w:r>
      <w:r w:rsidR="009F5257" w:rsidRPr="00503B7C">
        <w:rPr>
          <w:rFonts w:ascii="Times New Roman" w:hAnsi="Times New Roman" w:cs="Times New Roman"/>
          <w:sz w:val="24"/>
          <w:szCs w:val="24"/>
        </w:rPr>
        <w:t>о</w:t>
      </w:r>
      <w:r w:rsidR="00573B69" w:rsidRPr="00503B7C">
        <w:rPr>
          <w:rFonts w:ascii="Times New Roman" w:hAnsi="Times New Roman" w:cs="Times New Roman"/>
          <w:sz w:val="24"/>
          <w:szCs w:val="24"/>
        </w:rPr>
        <w:t>судистых</w:t>
      </w:r>
      <w:r w:rsidRPr="00503B7C">
        <w:rPr>
          <w:rFonts w:ascii="Times New Roman" w:hAnsi="Times New Roman" w:cs="Times New Roman"/>
          <w:sz w:val="24"/>
          <w:szCs w:val="24"/>
        </w:rPr>
        <w:t xml:space="preserve"> заболеваний на фоне атеросклероза у 17 802 мужчин (≥ 50 лет) и женщин (≥ 60 лет).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Участники исследования были в случайном порядке распределены в группу </w:t>
      </w:r>
      <w:r w:rsidR="00573B69" w:rsidRPr="00503B7C">
        <w:rPr>
          <w:rFonts w:ascii="Times New Roman" w:hAnsi="Times New Roman" w:cs="Times New Roman"/>
          <w:sz w:val="24"/>
          <w:szCs w:val="24"/>
        </w:rPr>
        <w:t xml:space="preserve">с </w:t>
      </w:r>
      <w:r w:rsidRPr="00503B7C">
        <w:rPr>
          <w:rFonts w:ascii="Times New Roman" w:hAnsi="Times New Roman" w:cs="Times New Roman"/>
          <w:sz w:val="24"/>
          <w:szCs w:val="24"/>
        </w:rPr>
        <w:t>прием</w:t>
      </w:r>
      <w:r w:rsidR="00573B69" w:rsidRPr="00503B7C">
        <w:rPr>
          <w:rFonts w:ascii="Times New Roman" w:hAnsi="Times New Roman" w:cs="Times New Roman"/>
          <w:sz w:val="24"/>
          <w:szCs w:val="24"/>
        </w:rPr>
        <w:t>ом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плацебо (n = 8901) ив группу </w:t>
      </w:r>
      <w:r w:rsidR="00573B69" w:rsidRPr="00503B7C">
        <w:rPr>
          <w:rFonts w:ascii="Times New Roman" w:hAnsi="Times New Roman" w:cs="Times New Roman"/>
          <w:sz w:val="24"/>
          <w:szCs w:val="24"/>
        </w:rPr>
        <w:t xml:space="preserve">с </w:t>
      </w:r>
      <w:r w:rsidRPr="00503B7C">
        <w:rPr>
          <w:rFonts w:ascii="Times New Roman" w:hAnsi="Times New Roman" w:cs="Times New Roman"/>
          <w:sz w:val="24"/>
          <w:szCs w:val="24"/>
        </w:rPr>
        <w:t>при</w:t>
      </w:r>
      <w:r w:rsidR="00573B69" w:rsidRPr="00503B7C">
        <w:rPr>
          <w:rFonts w:ascii="Times New Roman" w:hAnsi="Times New Roman" w:cs="Times New Roman"/>
          <w:sz w:val="24"/>
          <w:szCs w:val="24"/>
        </w:rPr>
        <w:t>менением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розувастатина</w:t>
      </w:r>
      <w:r w:rsidR="00573B69" w:rsidRPr="00503B7C">
        <w:rPr>
          <w:rFonts w:ascii="Times New Roman" w:hAnsi="Times New Roman" w:cs="Times New Roman"/>
          <w:sz w:val="24"/>
          <w:szCs w:val="24"/>
        </w:rPr>
        <w:t xml:space="preserve"> в дозе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20 мг один раз в день (n = 8901)</w:t>
      </w:r>
      <w:r w:rsidR="00573B69" w:rsidRPr="00503B7C">
        <w:rPr>
          <w:rFonts w:ascii="Times New Roman" w:hAnsi="Times New Roman" w:cs="Times New Roman"/>
          <w:sz w:val="24"/>
          <w:szCs w:val="24"/>
        </w:rPr>
        <w:t xml:space="preserve"> и наблюдение за данными группами пациентов велось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среднем 2 </w:t>
      </w:r>
      <w:r w:rsidR="00573B69" w:rsidRPr="00503B7C">
        <w:rPr>
          <w:rFonts w:ascii="Times New Roman" w:hAnsi="Times New Roman" w:cs="Times New Roman"/>
          <w:sz w:val="24"/>
          <w:szCs w:val="24"/>
        </w:rPr>
        <w:t>года</w:t>
      </w:r>
      <w:r w:rsidRPr="00503B7C">
        <w:rPr>
          <w:rFonts w:ascii="Times New Roman" w:hAnsi="Times New Roman" w:cs="Times New Roman"/>
          <w:sz w:val="24"/>
          <w:szCs w:val="24"/>
        </w:rPr>
        <w:t>.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Концентрация холестерина ЛПНП была снижена на 45 % (p &lt; 0,001) в группе </w:t>
      </w:r>
      <w:r w:rsidR="00573B69" w:rsidRPr="00503B7C">
        <w:rPr>
          <w:rFonts w:ascii="Times New Roman" w:hAnsi="Times New Roman" w:cs="Times New Roman"/>
          <w:sz w:val="24"/>
          <w:szCs w:val="24"/>
        </w:rPr>
        <w:t xml:space="preserve">с </w:t>
      </w:r>
      <w:r w:rsidRPr="00503B7C">
        <w:rPr>
          <w:rFonts w:ascii="Times New Roman" w:hAnsi="Times New Roman" w:cs="Times New Roman"/>
          <w:sz w:val="24"/>
          <w:szCs w:val="24"/>
        </w:rPr>
        <w:t>при</w:t>
      </w:r>
      <w:r w:rsidR="00573B69" w:rsidRPr="00503B7C">
        <w:rPr>
          <w:rFonts w:ascii="Times New Roman" w:hAnsi="Times New Roman" w:cs="Times New Roman"/>
          <w:sz w:val="24"/>
          <w:szCs w:val="24"/>
        </w:rPr>
        <w:t>менением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розувастатина по сравнению с группой приема плацебо.</w:t>
      </w:r>
    </w:p>
    <w:p w:rsidR="00076D61" w:rsidRPr="00503B7C" w:rsidRDefault="00076D61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ретроспективном анализе подгруппы пациентов с высоким риском и базовым показателем риска по Фрэмингему&gt; 20 % (1558 субъектов) было отмечено значительное снижение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="00CC65AA" w:rsidRPr="00503B7C">
        <w:rPr>
          <w:rFonts w:ascii="Times New Roman" w:hAnsi="Times New Roman" w:cs="Times New Roman"/>
          <w:sz w:val="24"/>
          <w:szCs w:val="24"/>
        </w:rPr>
        <w:t>достижения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комбинированной конечной точки смертности от сердечно-сосудистых заболеваний, инсульта и инфаркта миокарда (р = 0,028) при терапии розувастатином по сравнению с плацебо. Абсолютное снижение риска в частоте событий на 1000 пациенто-лет составило 8,8. Общая смертность осталась неизменной в </w:t>
      </w:r>
      <w:r w:rsidR="00234F06" w:rsidRPr="00503B7C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503B7C">
        <w:rPr>
          <w:rFonts w:ascii="Times New Roman" w:hAnsi="Times New Roman" w:cs="Times New Roman"/>
          <w:sz w:val="24"/>
          <w:szCs w:val="24"/>
        </w:rPr>
        <w:t>группе высокого риска (p = 0,193). В ретроспективном анализе подгруппы пациентов с высоким риском (всего 9302 пациента) и с базовым значением риска по шкале SCORE (шкала, разработанная для оценки риска смертельного сердечно-сосудистого заболевания в течение 10 лет) ≥ 5 % (расширено для включения субъектов в возрасте старше 65 лет) было отмечено значительное снижение комбинированной конечной точки смертности от сердечно-сосудистых заболеваний, инсульта и инфаркта миокарда (р = 0,0003) при терапии розувастатином по сравнению с плацебо. Абсолютное снижение риска к частоте событий на 1000 пациенто-лет составило 5,1. Общая смертность осталась неизменной в данной группе высокого риска (p = 0,076).</w:t>
      </w:r>
    </w:p>
    <w:p w:rsidR="00E37717" w:rsidRPr="00503B7C" w:rsidRDefault="00716D3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рамках исследования JUPITER 6,6 % субъектов из группы приема розувастатина и 6,2 % субъектов из группы приема плацебо прекратили терапию в связи с развитием   нежелательных явлений. Наиболее распространенными неблагоприятными явлениями, которые привели к прекращению терапии, были: миалгия (0,3 % в группе розувастатина, 0,2 % в группе плацебо), боль в животе (0,03 % в группе розувастатина, 0,02 % в группе плацебо) и сыпь (0,02 % в группе розувастатина, 0,03 % в группе плацебо). Наиболее распространенными неблагоприятными явлениями, в количестве, превышающем или равном плацебо, были: инфекции мочевыводящих путей (8,7 % в группе розувастатина, 8,6 % в группе плацебо), ринофарингит (7,6 % в группе розувастатина, 7,2 % в группе</w:t>
      </w:r>
      <w:r w:rsidR="005B02EB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плацебо), боль в спине (7,6 % в группе розувастатина, 6,9 % в группе плацебо) и миалгия (7,6 % в группе розувастатина, 6,6 % в группе плацебо).</w:t>
      </w:r>
    </w:p>
    <w:p w:rsidR="00F04F89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</w:p>
    <w:p w:rsidR="00344159" w:rsidRPr="00503B7C" w:rsidRDefault="0034415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двойном слепом рандомизированном многоцентровом плацебо-контролируемом 12-недельном исследовании (n = 176, 97 муж</w:t>
      </w:r>
      <w:r w:rsidR="00981D00" w:rsidRPr="00503B7C">
        <w:rPr>
          <w:rFonts w:ascii="Times New Roman" w:hAnsi="Times New Roman" w:cs="Times New Roman"/>
          <w:sz w:val="24"/>
          <w:szCs w:val="24"/>
        </w:rPr>
        <w:t>ского пола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79 </w:t>
      </w:r>
      <w:r w:rsidR="00981D00" w:rsidRPr="00503B7C">
        <w:rPr>
          <w:rFonts w:ascii="Times New Roman" w:hAnsi="Times New Roman" w:cs="Times New Roman"/>
          <w:sz w:val="24"/>
          <w:szCs w:val="24"/>
        </w:rPr>
        <w:t>женского пола</w:t>
      </w:r>
      <w:r w:rsidRPr="00503B7C">
        <w:rPr>
          <w:rFonts w:ascii="Times New Roman" w:hAnsi="Times New Roman" w:cs="Times New Roman"/>
          <w:sz w:val="24"/>
          <w:szCs w:val="24"/>
        </w:rPr>
        <w:t xml:space="preserve">) с </w:t>
      </w:r>
      <w:r w:rsidRPr="00503B7C">
        <w:rPr>
          <w:rFonts w:ascii="Times New Roman" w:hAnsi="Times New Roman" w:cs="Times New Roman"/>
          <w:sz w:val="24"/>
          <w:szCs w:val="24"/>
        </w:rPr>
        <w:lastRenderedPageBreak/>
        <w:t xml:space="preserve">последующей 40-недельной (n = 173, 96 </w:t>
      </w:r>
      <w:r w:rsidR="00981D00" w:rsidRPr="00503B7C">
        <w:rPr>
          <w:rFonts w:ascii="Times New Roman" w:hAnsi="Times New Roman" w:cs="Times New Roman"/>
          <w:sz w:val="24"/>
          <w:szCs w:val="24"/>
        </w:rPr>
        <w:t>мужского пола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77 же</w:t>
      </w:r>
      <w:r w:rsidR="00981D00" w:rsidRPr="00503B7C">
        <w:rPr>
          <w:rFonts w:ascii="Times New Roman" w:hAnsi="Times New Roman" w:cs="Times New Roman"/>
          <w:sz w:val="24"/>
          <w:szCs w:val="24"/>
        </w:rPr>
        <w:t>нского пола</w:t>
      </w:r>
      <w:r w:rsidRPr="00503B7C">
        <w:rPr>
          <w:rFonts w:ascii="Times New Roman" w:hAnsi="Times New Roman" w:cs="Times New Roman"/>
          <w:sz w:val="24"/>
          <w:szCs w:val="24"/>
        </w:rPr>
        <w:t>) фазой титрования розувастатина</w:t>
      </w:r>
      <w:r w:rsidR="00981D00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пациенты в возрасте от 10 до 17 лет (</w:t>
      </w:r>
      <w:r w:rsidR="00EB0330" w:rsidRPr="00503B7C">
        <w:rPr>
          <w:rFonts w:ascii="Times New Roman" w:hAnsi="Times New Roman" w:cs="Times New Roman"/>
          <w:sz w:val="24"/>
          <w:szCs w:val="24"/>
        </w:rPr>
        <w:t xml:space="preserve">шкала </w:t>
      </w:r>
      <w:r w:rsidRPr="00503B7C">
        <w:rPr>
          <w:rFonts w:ascii="Times New Roman" w:hAnsi="Times New Roman" w:cs="Times New Roman"/>
          <w:sz w:val="24"/>
          <w:szCs w:val="24"/>
        </w:rPr>
        <w:t xml:space="preserve">II–V Таннера, </w:t>
      </w:r>
      <w:r w:rsidR="00981D00" w:rsidRPr="00503B7C">
        <w:rPr>
          <w:rFonts w:ascii="Times New Roman" w:hAnsi="Times New Roman" w:cs="Times New Roman"/>
          <w:sz w:val="24"/>
          <w:szCs w:val="24"/>
        </w:rPr>
        <w:t>женский пол</w:t>
      </w:r>
      <w:r w:rsidR="00CC65AA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возрасте не менее 1 года после наступления первой менструации) с гетерозиготной семейной гиперхолестеринемией получали</w:t>
      </w:r>
      <w:r w:rsidR="00A9752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розувастатин</w:t>
      </w:r>
      <w:r w:rsidR="00981D00" w:rsidRPr="00503B7C">
        <w:rPr>
          <w:rFonts w:ascii="Times New Roman" w:hAnsi="Times New Roman" w:cs="Times New Roman"/>
          <w:sz w:val="24"/>
          <w:szCs w:val="24"/>
        </w:rPr>
        <w:t xml:space="preserve">в дозах </w:t>
      </w:r>
      <w:r w:rsidRPr="00503B7C">
        <w:rPr>
          <w:rFonts w:ascii="Times New Roman" w:hAnsi="Times New Roman" w:cs="Times New Roman"/>
          <w:sz w:val="24"/>
          <w:szCs w:val="24"/>
        </w:rPr>
        <w:t xml:space="preserve">5, 10 или 20 мг или плацебо ежедневно в течение 12 недель, а затем все получали розувастатин ежедневно в течение 40 недель. На момент включения в исследование около 30 % пациентов были в возрасте от 10 до 13 лет и примерно 17, 18, 40 и 25 % соответствовали </w:t>
      </w:r>
      <w:r w:rsidR="00EB0330" w:rsidRPr="00503B7C">
        <w:rPr>
          <w:rFonts w:ascii="Times New Roman" w:hAnsi="Times New Roman" w:cs="Times New Roman"/>
          <w:sz w:val="24"/>
          <w:szCs w:val="24"/>
        </w:rPr>
        <w:t xml:space="preserve">шкале </w:t>
      </w:r>
      <w:r w:rsidRPr="00503B7C">
        <w:rPr>
          <w:rFonts w:ascii="Times New Roman" w:hAnsi="Times New Roman" w:cs="Times New Roman"/>
          <w:sz w:val="24"/>
          <w:szCs w:val="24"/>
        </w:rPr>
        <w:t>II, III, IV и V Таннера соответственно.</w:t>
      </w:r>
    </w:p>
    <w:p w:rsidR="00674C31" w:rsidRPr="00503B7C" w:rsidRDefault="00674C31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Уровни ХС-ЛПНП были снижены на 38,3, 44,6 и 50,0 % при приеме розувастатина в дозировках  5, 10 и 20 мг соответственно, по сравнению с 0,7 % при получении плацебо.</w:t>
      </w:r>
    </w:p>
    <w:p w:rsidR="00674C31" w:rsidRPr="00503B7C" w:rsidRDefault="00CC65A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По окончании</w:t>
      </w:r>
      <w:r w:rsidR="00674C31" w:rsidRPr="00503B7C">
        <w:rPr>
          <w:rFonts w:ascii="Times New Roman" w:hAnsi="Times New Roman" w:cs="Times New Roman"/>
          <w:sz w:val="24"/>
          <w:szCs w:val="24"/>
        </w:rPr>
        <w:t xml:space="preserve"> 40-го недельного открытого титрования для достижения максимальной дозы 20 мг один раз в день 70 из 173 пациентов (40,5 %) достигли уровня ХС-ЛПНП менее чем 2,8 ммоль/л.</w:t>
      </w:r>
      <w:r w:rsidR="00A97528">
        <w:rPr>
          <w:rFonts w:ascii="Times New Roman" w:hAnsi="Times New Roman" w:cs="Times New Roman"/>
          <w:sz w:val="24"/>
          <w:szCs w:val="24"/>
        </w:rPr>
        <w:t xml:space="preserve"> </w:t>
      </w:r>
      <w:r w:rsidR="00674C31" w:rsidRPr="00503B7C">
        <w:rPr>
          <w:rFonts w:ascii="Times New Roman" w:hAnsi="Times New Roman" w:cs="Times New Roman"/>
          <w:sz w:val="24"/>
          <w:szCs w:val="24"/>
        </w:rPr>
        <w:t xml:space="preserve">После 52 недель получения исследуемого препарата не было обнаружено никакого влияния на рост, вес, </w:t>
      </w:r>
      <w:r w:rsidR="00861B4F" w:rsidRPr="00503B7C">
        <w:rPr>
          <w:rFonts w:ascii="Times New Roman" w:hAnsi="Times New Roman" w:cs="Times New Roman"/>
          <w:sz w:val="24"/>
          <w:szCs w:val="24"/>
        </w:rPr>
        <w:t>индекс массы тела</w:t>
      </w:r>
      <w:r w:rsidR="00674C31" w:rsidRPr="00503B7C">
        <w:rPr>
          <w:rFonts w:ascii="Times New Roman" w:hAnsi="Times New Roman" w:cs="Times New Roman"/>
          <w:sz w:val="24"/>
          <w:szCs w:val="24"/>
        </w:rPr>
        <w:t xml:space="preserve"> и половое созревание. </w:t>
      </w:r>
      <w:r w:rsidR="00861B4F" w:rsidRPr="00503B7C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674C31" w:rsidRPr="00503B7C">
        <w:rPr>
          <w:rFonts w:ascii="Times New Roman" w:hAnsi="Times New Roman" w:cs="Times New Roman"/>
          <w:sz w:val="24"/>
          <w:szCs w:val="24"/>
        </w:rPr>
        <w:t>исследование (n = 176)</w:t>
      </w:r>
      <w:r w:rsidR="00A9752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не подходило</w:t>
      </w:r>
      <w:r w:rsidR="00674C31" w:rsidRPr="00503B7C">
        <w:rPr>
          <w:rFonts w:ascii="Times New Roman" w:hAnsi="Times New Roman" w:cs="Times New Roman"/>
          <w:sz w:val="24"/>
          <w:szCs w:val="24"/>
        </w:rPr>
        <w:t xml:space="preserve"> для сравнения редких нежелательных реакций.</w:t>
      </w:r>
    </w:p>
    <w:p w:rsidR="00344159" w:rsidRPr="00503B7C" w:rsidRDefault="00674C31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Исследование розувастатина также проводилось в рамках 2-летнего открытого исследования титрования до подбора целевых показателей при участии 198 детей с гетерозиготной семейной гиперхолестеринемией в возрасте от 6 до 17 лет (88 </w:t>
      </w:r>
      <w:r w:rsidR="00861B4F" w:rsidRPr="00503B7C">
        <w:rPr>
          <w:rFonts w:ascii="Times New Roman" w:hAnsi="Times New Roman" w:cs="Times New Roman"/>
          <w:sz w:val="24"/>
          <w:szCs w:val="24"/>
        </w:rPr>
        <w:t>пациентов мужского пол</w:t>
      </w:r>
      <w:r w:rsidR="00C32EBF" w:rsidRPr="00503B7C">
        <w:rPr>
          <w:rFonts w:ascii="Times New Roman" w:hAnsi="Times New Roman" w:cs="Times New Roman"/>
          <w:sz w:val="24"/>
          <w:szCs w:val="24"/>
        </w:rPr>
        <w:t>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110 </w:t>
      </w:r>
      <w:r w:rsidR="00C32EBF" w:rsidRPr="00503B7C">
        <w:rPr>
          <w:rFonts w:ascii="Times New Roman" w:hAnsi="Times New Roman" w:cs="Times New Roman"/>
          <w:sz w:val="24"/>
          <w:szCs w:val="24"/>
        </w:rPr>
        <w:t>женского пола</w:t>
      </w:r>
      <w:r w:rsidRPr="00503B7C">
        <w:rPr>
          <w:rFonts w:ascii="Times New Roman" w:hAnsi="Times New Roman" w:cs="Times New Roman"/>
          <w:sz w:val="24"/>
          <w:szCs w:val="24"/>
        </w:rPr>
        <w:t>, стадия по Таннеру&lt; II–V).Начальная доза розувастатина для всех пациентов составляла 5 мг. Пациенты в возрасте от 6 до 9 лет (n = 64) мо</w:t>
      </w:r>
      <w:r w:rsidR="00C32EBF" w:rsidRPr="00503B7C">
        <w:rPr>
          <w:rFonts w:ascii="Times New Roman" w:hAnsi="Times New Roman" w:cs="Times New Roman"/>
          <w:sz w:val="24"/>
          <w:szCs w:val="24"/>
        </w:rPr>
        <w:t>гли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получать</w:t>
      </w:r>
      <w:r w:rsidR="00A97528">
        <w:rPr>
          <w:rFonts w:ascii="Times New Roman" w:hAnsi="Times New Roman" w:cs="Times New Roman"/>
          <w:sz w:val="24"/>
          <w:szCs w:val="24"/>
        </w:rPr>
        <w:t xml:space="preserve"> </w:t>
      </w:r>
      <w:r w:rsidR="00C32EBF" w:rsidRPr="00503B7C">
        <w:rPr>
          <w:rFonts w:ascii="Times New Roman" w:hAnsi="Times New Roman" w:cs="Times New Roman"/>
          <w:sz w:val="24"/>
          <w:szCs w:val="24"/>
        </w:rPr>
        <w:t>розувастатин до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максимальной дозы 10 мг один раз в день, и пациенты в возрасте от 10 до 17 лет (n = 134)  до максимальной дозы 20 мг один раз в день.</w:t>
      </w:r>
    </w:p>
    <w:p w:rsidR="008C5295" w:rsidRPr="00503B7C" w:rsidRDefault="008C529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После 24 месяцев лечения розувастатином</w:t>
      </w:r>
      <w:r w:rsidR="00CE23D7" w:rsidRPr="00503B7C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C7473D" w:rsidRPr="00503B7C">
        <w:rPr>
          <w:rFonts w:ascii="Times New Roman" w:hAnsi="Times New Roman" w:cs="Times New Roman"/>
          <w:sz w:val="24"/>
          <w:szCs w:val="24"/>
        </w:rPr>
        <w:t xml:space="preserve">процентное </w:t>
      </w:r>
      <w:r w:rsidR="00CE23D7" w:rsidRPr="00503B7C">
        <w:rPr>
          <w:rFonts w:ascii="Times New Roman" w:hAnsi="Times New Roman" w:cs="Times New Roman"/>
          <w:sz w:val="24"/>
          <w:szCs w:val="24"/>
        </w:rPr>
        <w:t>значение</w:t>
      </w:r>
      <w:r w:rsidR="00C7473D" w:rsidRPr="00503B7C">
        <w:rPr>
          <w:rFonts w:ascii="Times New Roman" w:hAnsi="Times New Roman" w:cs="Times New Roman"/>
          <w:sz w:val="24"/>
          <w:szCs w:val="24"/>
        </w:rPr>
        <w:t xml:space="preserve"> (</w:t>
      </w:r>
      <w:r w:rsidR="00CE23D7" w:rsidRPr="00503B7C">
        <w:rPr>
          <w:rFonts w:ascii="Times New Roman" w:hAnsi="Times New Roman" w:cs="Times New Roman"/>
          <w:sz w:val="24"/>
          <w:szCs w:val="24"/>
        </w:rPr>
        <w:t>полученное методом наименьших квадратов (</w:t>
      </w:r>
      <w:r w:rsidR="00C7473D" w:rsidRPr="00503B7C">
        <w:rPr>
          <w:rFonts w:ascii="Times New Roman" w:hAnsi="Times New Roman" w:cs="Times New Roman"/>
          <w:sz w:val="24"/>
          <w:szCs w:val="24"/>
        </w:rPr>
        <w:t>МНК))</w:t>
      </w:r>
      <w:r w:rsidR="00A9752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снижения концентрации </w:t>
      </w:r>
      <w:r w:rsidR="00EE075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 по сравнению с исходным значением составил</w:t>
      </w:r>
      <w:r w:rsidR="00C7473D" w:rsidRPr="00503B7C">
        <w:rPr>
          <w:rFonts w:ascii="Times New Roman" w:hAnsi="Times New Roman" w:cs="Times New Roman"/>
          <w:sz w:val="24"/>
          <w:szCs w:val="24"/>
        </w:rPr>
        <w:t>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43 % (исходный уровень: 236 мг/дл, 24-й месяц: 133 мг/дл). Для каждой возрастной группы </w:t>
      </w:r>
      <w:r w:rsidR="00C7473D" w:rsidRPr="00503B7C">
        <w:rPr>
          <w:rFonts w:ascii="Times New Roman" w:hAnsi="Times New Roman" w:cs="Times New Roman"/>
          <w:sz w:val="24"/>
          <w:szCs w:val="24"/>
        </w:rPr>
        <w:t xml:space="preserve">среднее процентное значение (полученное при </w:t>
      </w:r>
      <w:r w:rsidRPr="00503B7C">
        <w:rPr>
          <w:rFonts w:ascii="Times New Roman" w:hAnsi="Times New Roman" w:cs="Times New Roman"/>
          <w:sz w:val="24"/>
          <w:szCs w:val="24"/>
        </w:rPr>
        <w:t>МНК</w:t>
      </w:r>
      <w:r w:rsidR="00C7473D" w:rsidRPr="00503B7C">
        <w:rPr>
          <w:rFonts w:ascii="Times New Roman" w:hAnsi="Times New Roman" w:cs="Times New Roman"/>
          <w:sz w:val="24"/>
          <w:szCs w:val="24"/>
        </w:rPr>
        <w:t>)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снижения концентрации </w:t>
      </w:r>
      <w:r w:rsidR="00EE0750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 по сравнению с исходным значением составили –43 % (исходный уровень: 234 мг/дл, 24-й месяц: 124 мг/дл), –45 % (исходный уровень: 234 мг/дл, 24-й месяц: 124 мг/дл) и –35 % (исходный уровень: 241 мг/дл, 24-й месяц: 153 мг/дл) в возрастных группах от 6 до 10 лет, от 10 до 14 лет и от 14 до 18 лет соответственно.</w:t>
      </w:r>
    </w:p>
    <w:p w:rsidR="008C5295" w:rsidRPr="00503B7C" w:rsidRDefault="008C529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Розувастатин</w:t>
      </w:r>
      <w:r w:rsidR="00D73BC9" w:rsidRPr="00503B7C">
        <w:rPr>
          <w:rFonts w:ascii="Times New Roman" w:hAnsi="Times New Roman" w:cs="Times New Roman"/>
          <w:sz w:val="24"/>
          <w:szCs w:val="24"/>
        </w:rPr>
        <w:t xml:space="preserve"> в</w:t>
      </w:r>
      <w:r w:rsidRPr="00503B7C">
        <w:rPr>
          <w:rFonts w:ascii="Times New Roman" w:hAnsi="Times New Roman" w:cs="Times New Roman"/>
          <w:sz w:val="24"/>
          <w:szCs w:val="24"/>
        </w:rPr>
        <w:t xml:space="preserve"> дозировк</w:t>
      </w:r>
      <w:r w:rsidR="00D73BC9" w:rsidRPr="00503B7C">
        <w:rPr>
          <w:rFonts w:ascii="Times New Roman" w:hAnsi="Times New Roman" w:cs="Times New Roman"/>
          <w:sz w:val="24"/>
          <w:szCs w:val="24"/>
        </w:rPr>
        <w:t>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5, 10 и 20 мг также достигал статистически значимых средних изменений от исходного уровня для следующих вторичных липидных и липопротеиновых переменных: Х</w:t>
      </w:r>
      <w:r w:rsidR="00D73BC9" w:rsidRPr="00503B7C">
        <w:rPr>
          <w:rFonts w:ascii="Times New Roman" w:hAnsi="Times New Roman" w:cs="Times New Roman"/>
          <w:sz w:val="24"/>
          <w:szCs w:val="24"/>
        </w:rPr>
        <w:t>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-ЛПВП, общий холестерин, 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-неЛПВП, 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-ЛПНП/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-ЛПНП, общий холестерин/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-ЛПВП, общий триглицери</w:t>
      </w:r>
      <w:r w:rsidR="00D73BC9" w:rsidRPr="00503B7C">
        <w:rPr>
          <w:rFonts w:ascii="Times New Roman" w:hAnsi="Times New Roman" w:cs="Times New Roman"/>
          <w:sz w:val="24"/>
          <w:szCs w:val="24"/>
        </w:rPr>
        <w:t>д</w:t>
      </w:r>
      <w:r w:rsidRPr="00503B7C">
        <w:rPr>
          <w:rFonts w:ascii="Times New Roman" w:hAnsi="Times New Roman" w:cs="Times New Roman"/>
          <w:sz w:val="24"/>
          <w:szCs w:val="24"/>
        </w:rPr>
        <w:t>/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-ЛПВП, 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-неЛПВП/</w:t>
      </w:r>
      <w:r w:rsidR="00D73BC9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-ЛПВП, </w:t>
      </w:r>
      <w:r w:rsidR="00D73BC9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 xml:space="preserve">B, </w:t>
      </w:r>
      <w:r w:rsidR="00D73BC9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>B/</w:t>
      </w:r>
      <w:r w:rsidR="00D73BC9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>-</w:t>
      </w:r>
      <w:r w:rsidR="00D73BC9" w:rsidRPr="00503B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3B7C">
        <w:rPr>
          <w:rFonts w:ascii="Times New Roman" w:hAnsi="Times New Roman" w:cs="Times New Roman"/>
          <w:sz w:val="24"/>
          <w:szCs w:val="24"/>
        </w:rPr>
        <w:t>. Эти изменения были направлены на улучшение липидных реакций и сохранялись в течение 2 лет.</w:t>
      </w:r>
    </w:p>
    <w:p w:rsidR="008C5295" w:rsidRPr="00503B7C" w:rsidRDefault="008C5295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После 24 месяцев получения исследуемого препарата не было обнаружено влияния на рост, вес, </w:t>
      </w:r>
      <w:r w:rsidR="00D73BC9" w:rsidRPr="00503B7C">
        <w:rPr>
          <w:rFonts w:ascii="Times New Roman" w:hAnsi="Times New Roman" w:cs="Times New Roman"/>
          <w:sz w:val="24"/>
          <w:szCs w:val="24"/>
        </w:rPr>
        <w:t>индекс массы тела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 половое созревание.</w:t>
      </w:r>
    </w:p>
    <w:p w:rsidR="00B85BFE" w:rsidRPr="00503B7C" w:rsidRDefault="004E7AE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</w:t>
      </w:r>
      <w:r w:rsidR="00B85BFE" w:rsidRPr="00503B7C">
        <w:rPr>
          <w:rFonts w:ascii="Times New Roman" w:hAnsi="Times New Roman" w:cs="Times New Roman"/>
          <w:sz w:val="24"/>
          <w:szCs w:val="24"/>
        </w:rPr>
        <w:t xml:space="preserve"> рамках рандомизированного, двойного</w:t>
      </w:r>
      <w:r w:rsidR="00864E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BFE" w:rsidRPr="00503B7C">
        <w:rPr>
          <w:rFonts w:ascii="Times New Roman" w:hAnsi="Times New Roman" w:cs="Times New Roman"/>
          <w:sz w:val="24"/>
          <w:szCs w:val="24"/>
        </w:rPr>
        <w:t xml:space="preserve">слепого, мультицентрового перекрестного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плацебо-контролируемого </w:t>
      </w:r>
      <w:r w:rsidR="00B85BFE" w:rsidRPr="00503B7C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503B7C">
        <w:rPr>
          <w:rFonts w:ascii="Times New Roman" w:hAnsi="Times New Roman" w:cs="Times New Roman"/>
          <w:sz w:val="24"/>
          <w:szCs w:val="24"/>
        </w:rPr>
        <w:t xml:space="preserve">было проведено испытание розувастатина в дозировке </w:t>
      </w:r>
      <w:r w:rsidR="00B85BFE" w:rsidRPr="00503B7C">
        <w:rPr>
          <w:rFonts w:ascii="Times New Roman" w:hAnsi="Times New Roman" w:cs="Times New Roman"/>
          <w:sz w:val="24"/>
          <w:szCs w:val="24"/>
        </w:rPr>
        <w:t xml:space="preserve"> 20 мг один раз в день в сравнении с плацебо с участием 14 детей и подростков (в возрасте от 6 до 17 лет), страдающих гомозиготной семейной гиперхолестеринемией. Исследование включало активную 4-недельную вводную фазу диеты, во время которой пациенты получали розувастатин</w:t>
      </w:r>
      <w:r w:rsidR="00577D5F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в </w:t>
      </w:r>
      <w:r w:rsidR="00B85BFE" w:rsidRPr="00503B7C">
        <w:rPr>
          <w:rFonts w:ascii="Times New Roman" w:hAnsi="Times New Roman" w:cs="Times New Roman"/>
          <w:sz w:val="24"/>
          <w:szCs w:val="24"/>
        </w:rPr>
        <w:t>дозировк</w:t>
      </w:r>
      <w:r w:rsidRPr="00503B7C">
        <w:rPr>
          <w:rFonts w:ascii="Times New Roman" w:hAnsi="Times New Roman" w:cs="Times New Roman"/>
          <w:sz w:val="24"/>
          <w:szCs w:val="24"/>
        </w:rPr>
        <w:t>е</w:t>
      </w:r>
      <w:r w:rsidR="00B85BFE" w:rsidRPr="00503B7C">
        <w:rPr>
          <w:rFonts w:ascii="Times New Roman" w:hAnsi="Times New Roman" w:cs="Times New Roman"/>
          <w:sz w:val="24"/>
          <w:szCs w:val="24"/>
        </w:rPr>
        <w:t xml:space="preserve"> 10 мг, перекрестную фазу, которая состояла из 6-недельного периода лечения розувастатином</w:t>
      </w:r>
      <w:r w:rsidR="00577D5F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в дозе </w:t>
      </w:r>
      <w:r w:rsidR="00B85BFE" w:rsidRPr="00503B7C">
        <w:rPr>
          <w:rFonts w:ascii="Times New Roman" w:hAnsi="Times New Roman" w:cs="Times New Roman"/>
          <w:sz w:val="24"/>
          <w:szCs w:val="24"/>
        </w:rPr>
        <w:t>20 мг с предшествующим или последующим 6-недельным периодом приема плацебо, 12-недельный поддерживающий этап, во время которого все пациенты получали розувастатин по 20 мг. Пациенты, которые были включены в исследования</w:t>
      </w:r>
      <w:r w:rsidR="00EB0330" w:rsidRPr="00503B7C">
        <w:rPr>
          <w:rFonts w:ascii="Times New Roman" w:hAnsi="Times New Roman" w:cs="Times New Roman"/>
          <w:sz w:val="24"/>
          <w:szCs w:val="24"/>
        </w:rPr>
        <w:t xml:space="preserve"> на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lastRenderedPageBreak/>
        <w:t>терапии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B85BFE" w:rsidRPr="00503B7C">
        <w:rPr>
          <w:rFonts w:ascii="Times New Roman" w:hAnsi="Times New Roman" w:cs="Times New Roman"/>
          <w:sz w:val="24"/>
          <w:szCs w:val="24"/>
        </w:rPr>
        <w:t xml:space="preserve">эзетимибом или аферезом, продолжили участие в исследовании </w:t>
      </w:r>
      <w:r w:rsidRPr="00503B7C">
        <w:rPr>
          <w:rFonts w:ascii="Times New Roman" w:hAnsi="Times New Roman" w:cs="Times New Roman"/>
          <w:sz w:val="24"/>
          <w:szCs w:val="24"/>
        </w:rPr>
        <w:t>розувастатина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B85BFE" w:rsidRPr="00503B7C">
        <w:rPr>
          <w:rFonts w:ascii="Times New Roman" w:hAnsi="Times New Roman" w:cs="Times New Roman"/>
          <w:sz w:val="24"/>
          <w:szCs w:val="24"/>
        </w:rPr>
        <w:t>на протяжении всего исследования.</w:t>
      </w:r>
    </w:p>
    <w:p w:rsidR="00B85BFE" w:rsidRPr="00503B7C" w:rsidRDefault="00B85BF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Статистически значимое (р = 0,005) снижение уровня Х</w:t>
      </w:r>
      <w:r w:rsidR="004E7AEA" w:rsidRPr="00503B7C">
        <w:rPr>
          <w:rFonts w:ascii="Times New Roman" w:hAnsi="Times New Roman" w:cs="Times New Roman"/>
          <w:sz w:val="24"/>
          <w:szCs w:val="24"/>
        </w:rPr>
        <w:t>С</w:t>
      </w:r>
      <w:r w:rsidRPr="00503B7C">
        <w:rPr>
          <w:rFonts w:ascii="Times New Roman" w:hAnsi="Times New Roman" w:cs="Times New Roman"/>
          <w:sz w:val="24"/>
          <w:szCs w:val="24"/>
        </w:rPr>
        <w:t>-ЛПНП (22,3 %, 85,4 мг/дл или 2,2 ммоль/л) наблюдалось после 6 недель лечения розувастатином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4E7AEA" w:rsidRPr="00503B7C">
        <w:rPr>
          <w:rFonts w:ascii="Times New Roman" w:hAnsi="Times New Roman" w:cs="Times New Roman"/>
          <w:sz w:val="24"/>
          <w:szCs w:val="24"/>
        </w:rPr>
        <w:t xml:space="preserve">в </w:t>
      </w:r>
      <w:r w:rsidRPr="00503B7C">
        <w:rPr>
          <w:rFonts w:ascii="Times New Roman" w:hAnsi="Times New Roman" w:cs="Times New Roman"/>
          <w:sz w:val="24"/>
          <w:szCs w:val="24"/>
        </w:rPr>
        <w:t>дозировк</w:t>
      </w:r>
      <w:r w:rsidR="004E7AEA" w:rsidRPr="00503B7C">
        <w:rPr>
          <w:rFonts w:ascii="Times New Roman" w:hAnsi="Times New Roman" w:cs="Times New Roman"/>
          <w:sz w:val="24"/>
          <w:szCs w:val="24"/>
        </w:rPr>
        <w:t>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20 мг по сравнению с плацебо. Также наблюдалось статистически значимое снижение уровней общего холестерина (20,1 %, p = 0,003), 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-неЛПВП (22,9 %, p = 0,003) и </w:t>
      </w:r>
      <w:r w:rsidR="004E7AEA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>B (17,1 %, p =0,024).</w:t>
      </w:r>
    </w:p>
    <w:p w:rsidR="00B85BFE" w:rsidRPr="00503B7C" w:rsidRDefault="00B85BF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Также наблюдались снижения уровней тетраглициридов, 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-ЛПНП/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-ЛПВП, общего холестерина/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-ЛПВП, 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-неЛВНП/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-ЛПВП и </w:t>
      </w:r>
      <w:r w:rsidR="004E7AEA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>B/</w:t>
      </w:r>
      <w:r w:rsidR="004E7AEA" w:rsidRPr="00503B7C">
        <w:rPr>
          <w:rFonts w:ascii="Times New Roman" w:hAnsi="Times New Roman" w:cs="Times New Roman"/>
          <w:sz w:val="24"/>
          <w:szCs w:val="24"/>
        </w:rPr>
        <w:t>Апо</w:t>
      </w:r>
      <w:r w:rsidRPr="00503B7C">
        <w:rPr>
          <w:rFonts w:ascii="Times New Roman" w:hAnsi="Times New Roman" w:cs="Times New Roman"/>
          <w:sz w:val="24"/>
          <w:szCs w:val="24"/>
        </w:rPr>
        <w:t>A-</w:t>
      </w:r>
      <w:r w:rsidR="004E7AEA" w:rsidRPr="00503B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после 6 недель лечения </w:t>
      </w:r>
      <w:r w:rsidR="004E7AEA" w:rsidRPr="00503B7C">
        <w:rPr>
          <w:rFonts w:ascii="Times New Roman" w:hAnsi="Times New Roman" w:cs="Times New Roman"/>
          <w:sz w:val="24"/>
          <w:szCs w:val="24"/>
        </w:rPr>
        <w:t xml:space="preserve">дозировкой </w:t>
      </w:r>
      <w:r w:rsidRPr="00503B7C">
        <w:rPr>
          <w:rFonts w:ascii="Times New Roman" w:hAnsi="Times New Roman" w:cs="Times New Roman"/>
          <w:sz w:val="24"/>
          <w:szCs w:val="24"/>
        </w:rPr>
        <w:t xml:space="preserve">20 мг розувастатина по сравнению с плацебо. Снижение уровня </w:t>
      </w:r>
      <w:r w:rsidR="004E7AEA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-ЛПНП после 6 недель лечения </w:t>
      </w:r>
      <w:r w:rsidR="00CE7DA2" w:rsidRPr="00503B7C">
        <w:rPr>
          <w:rFonts w:ascii="Times New Roman" w:hAnsi="Times New Roman" w:cs="Times New Roman"/>
          <w:sz w:val="24"/>
          <w:szCs w:val="24"/>
        </w:rPr>
        <w:t xml:space="preserve">дозой </w:t>
      </w:r>
      <w:r w:rsidRPr="00503B7C">
        <w:rPr>
          <w:rFonts w:ascii="Times New Roman" w:hAnsi="Times New Roman" w:cs="Times New Roman"/>
          <w:sz w:val="24"/>
          <w:szCs w:val="24"/>
        </w:rPr>
        <w:t xml:space="preserve">20 мг розувастатина и после 6 недель лечения плацебо сохранялось на протяжении 12 недель непрерывной терапии. У одного пациента наблюдалось дальнейшее снижение уровней </w:t>
      </w:r>
      <w:r w:rsidR="00CE7DA2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-ЛПНД (8,0 %), общего холестерина (6,7 %) и </w:t>
      </w:r>
      <w:r w:rsidR="00CE7DA2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-неЛПВП (7,4 %) после 6 недель лечения</w:t>
      </w:r>
      <w:r w:rsidR="00CE7DA2" w:rsidRPr="00503B7C">
        <w:rPr>
          <w:rFonts w:ascii="Times New Roman" w:hAnsi="Times New Roman" w:cs="Times New Roman"/>
          <w:sz w:val="24"/>
          <w:szCs w:val="24"/>
        </w:rPr>
        <w:t xml:space="preserve"> в дозе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40 мг после повышения дозы.</w:t>
      </w:r>
    </w:p>
    <w:p w:rsidR="00B85BFE" w:rsidRPr="00503B7C" w:rsidRDefault="00B85BF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течение расширенного открытого лечения у 9 из этих пациентов, получавших лечение 20 мг розувастатина на протяжении до 90 недель, снижение уровня х-ЛПНП сохранялось в диапазоне от –12,1 до –21,3 %.</w:t>
      </w:r>
    </w:p>
    <w:p w:rsidR="00B85BFE" w:rsidRPr="00503B7C" w:rsidRDefault="00B85BF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У 7 оцениваемых детей и подростков (в возрасте от 8 до 17 лет) из открытого исследования </w:t>
      </w:r>
      <w:r w:rsidR="00CE7DA2" w:rsidRPr="00503B7C">
        <w:rPr>
          <w:rFonts w:ascii="Times New Roman" w:hAnsi="Times New Roman" w:cs="Times New Roman"/>
          <w:sz w:val="24"/>
          <w:szCs w:val="24"/>
        </w:rPr>
        <w:t xml:space="preserve">с </w:t>
      </w:r>
      <w:r w:rsidRPr="00503B7C">
        <w:rPr>
          <w:rFonts w:ascii="Times New Roman" w:hAnsi="Times New Roman" w:cs="Times New Roman"/>
          <w:sz w:val="24"/>
          <w:szCs w:val="24"/>
        </w:rPr>
        <w:t>усиленн</w:t>
      </w:r>
      <w:r w:rsidR="00CE7DA2" w:rsidRPr="00503B7C">
        <w:rPr>
          <w:rFonts w:ascii="Times New Roman" w:hAnsi="Times New Roman" w:cs="Times New Roman"/>
          <w:sz w:val="24"/>
          <w:szCs w:val="24"/>
        </w:rPr>
        <w:t>ым</w:t>
      </w:r>
      <w:r w:rsidRPr="00503B7C">
        <w:rPr>
          <w:rFonts w:ascii="Times New Roman" w:hAnsi="Times New Roman" w:cs="Times New Roman"/>
          <w:sz w:val="24"/>
          <w:szCs w:val="24"/>
        </w:rPr>
        <w:t xml:space="preserve"> титровани</w:t>
      </w:r>
      <w:r w:rsidR="00CE7DA2" w:rsidRPr="00503B7C">
        <w:rPr>
          <w:rFonts w:ascii="Times New Roman" w:hAnsi="Times New Roman" w:cs="Times New Roman"/>
          <w:sz w:val="24"/>
          <w:szCs w:val="24"/>
        </w:rPr>
        <w:t>ем</w:t>
      </w:r>
      <w:r w:rsidRPr="00503B7C">
        <w:rPr>
          <w:rFonts w:ascii="Times New Roman" w:hAnsi="Times New Roman" w:cs="Times New Roman"/>
          <w:sz w:val="24"/>
          <w:szCs w:val="24"/>
        </w:rPr>
        <w:t xml:space="preserve">, страдающих гомозиготной семейной гиперхолестеринемией, процент снижения уровня </w:t>
      </w:r>
      <w:r w:rsidR="00CE7DA2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 xml:space="preserve">-ЛПНП (21,0 %), общего холестерина (19,2 %) и </w:t>
      </w:r>
      <w:r w:rsidR="00CE7DA2" w:rsidRPr="00503B7C">
        <w:rPr>
          <w:rFonts w:ascii="Times New Roman" w:hAnsi="Times New Roman" w:cs="Times New Roman"/>
          <w:sz w:val="24"/>
          <w:szCs w:val="24"/>
        </w:rPr>
        <w:t>ХС</w:t>
      </w:r>
      <w:r w:rsidRPr="00503B7C">
        <w:rPr>
          <w:rFonts w:ascii="Times New Roman" w:hAnsi="Times New Roman" w:cs="Times New Roman"/>
          <w:sz w:val="24"/>
          <w:szCs w:val="24"/>
        </w:rPr>
        <w:t>-неЛПВП (21,0 %) от исходного уровня после 6 недель лечения розувастатином в дозе 20 мг соответствовал наблюдаемым в вышеупомянутом исследовании у детей и подростков с гомозиготной семейной гиперхолестеринемией.</w:t>
      </w:r>
    </w:p>
    <w:p w:rsidR="00344159" w:rsidRPr="00503B7C" w:rsidRDefault="007349FC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Европейское агентство по лекарственным средствам отказалось от обязательства представлять результаты исследований с розувастатином во всех подгруппах пациентов детского возраста при лечении гомозиготной семейной гиперхолестеринемии, первичной комбинированной (смешанной) дислипидемии и при профилактике сердечно-сосудистых заболеваний.</w:t>
      </w:r>
    </w:p>
    <w:p w:rsidR="00D306BD" w:rsidRPr="00503B7C" w:rsidRDefault="00D306BD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1" w:name="Par2304"/>
      <w:bookmarkEnd w:id="21"/>
      <w:r w:rsidRPr="00503B7C">
        <w:rPr>
          <w:rFonts w:ascii="Times New Roman" w:hAnsi="Times New Roman" w:cs="Times New Roman"/>
          <w:b/>
          <w:sz w:val="24"/>
          <w:szCs w:val="24"/>
        </w:rPr>
        <w:t>5.2. Фармакокинети</w:t>
      </w:r>
      <w:r w:rsidR="00EB504B" w:rsidRPr="00503B7C">
        <w:rPr>
          <w:rFonts w:ascii="Times New Roman" w:hAnsi="Times New Roman" w:cs="Times New Roman"/>
          <w:b/>
          <w:sz w:val="24"/>
          <w:szCs w:val="24"/>
        </w:rPr>
        <w:t>ческие свойства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Абсорбция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Максимальная концентрация розувастатина в плазме крови достигается приблизительно через 5 часов после перорального приема. Абсолютная биодоступность составляет примерно 20%.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Распределение</w:t>
      </w:r>
    </w:p>
    <w:p w:rsidR="004C61C0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 поглощается, преимущественно, печенью. Объем распределения розувастатина составляет примерно 134 л. Приблизительно 90% розувастатина связывается с белками плазмы, в основном с альбумином. </w:t>
      </w:r>
    </w:p>
    <w:p w:rsidR="004C61C0" w:rsidRPr="00503B7C" w:rsidRDefault="004C61C0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Биотрансформация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 подвергается ограниченному метаболизму (около 10%). </w:t>
      </w:r>
      <w:r w:rsidR="004C61C0" w:rsidRPr="00503B7C">
        <w:rPr>
          <w:rFonts w:ascii="Times New Roman" w:hAnsi="Times New Roman" w:cs="Times New Roman"/>
          <w:sz w:val="24"/>
          <w:szCs w:val="24"/>
        </w:rPr>
        <w:t xml:space="preserve">В исследованиях метаболизма </w:t>
      </w:r>
      <w:r w:rsidR="004C61C0" w:rsidRPr="00503B7C">
        <w:rPr>
          <w:rFonts w:ascii="Times New Roman" w:hAnsi="Times New Roman" w:cs="Times New Roman"/>
          <w:i/>
          <w:sz w:val="24"/>
          <w:szCs w:val="24"/>
        </w:rPr>
        <w:t>in</w:t>
      </w:r>
      <w:r w:rsidR="00975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1C0" w:rsidRPr="00503B7C">
        <w:rPr>
          <w:rFonts w:ascii="Times New Roman" w:hAnsi="Times New Roman" w:cs="Times New Roman"/>
          <w:i/>
          <w:sz w:val="24"/>
          <w:szCs w:val="24"/>
        </w:rPr>
        <w:t>vitro</w:t>
      </w:r>
      <w:r w:rsidR="004C61C0" w:rsidRPr="00503B7C">
        <w:rPr>
          <w:rFonts w:ascii="Times New Roman" w:hAnsi="Times New Roman" w:cs="Times New Roman"/>
          <w:sz w:val="24"/>
          <w:szCs w:val="24"/>
        </w:rPr>
        <w:t xml:space="preserve"> с использованием клеток печени человека было установлено, что р</w:t>
      </w:r>
      <w:r w:rsidRPr="00503B7C">
        <w:rPr>
          <w:rFonts w:ascii="Times New Roman" w:hAnsi="Times New Roman" w:cs="Times New Roman"/>
          <w:sz w:val="24"/>
          <w:szCs w:val="24"/>
        </w:rPr>
        <w:t xml:space="preserve">озувастатин является непрофильным субстратом для метаболизма ферментами системы цитохрома Р450. Основным изоэнзимом, участвующим в метаболизме розувастатина, является CYP2C9. Ферменты CYP2С19, CYP3А4 и CYP2D6 вовлечены в метаболизм в меньшей степени. 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Основными выявленными метаболитами розувастатина являются N-дисметил и лактоновые метаболиты. N-дисметил примерно на 50% менее активен, чем розувастатин, лактоновые метаболиты фармакологически не активны. Более 90% фармакологической активности по ингибированию циркулирующей ГМГ-КоА</w:t>
      </w:r>
      <w:r w:rsidR="00020EAD" w:rsidRPr="00503B7C">
        <w:rPr>
          <w:rFonts w:ascii="Times New Roman" w:hAnsi="Times New Roman" w:cs="Times New Roman"/>
          <w:sz w:val="24"/>
          <w:szCs w:val="24"/>
        </w:rPr>
        <w:t>-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редуктазы обеспечивается розувастатином, остальное – его метаболитами. 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Элиминация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lastRenderedPageBreak/>
        <w:t>Около 90% дозы розувастатина выводится в неизмененном виде с фекалиями (включая абсорбированный и не абсорбированный розувастатин). Оставшаяся часть</w:t>
      </w:r>
      <w:r w:rsidR="006C68A1" w:rsidRPr="00503B7C">
        <w:rPr>
          <w:rFonts w:ascii="Times New Roman" w:hAnsi="Times New Roman" w:cs="Times New Roman"/>
          <w:sz w:val="24"/>
          <w:szCs w:val="24"/>
        </w:rPr>
        <w:t>, около 5%,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выводится</w:t>
      </w:r>
      <w:r w:rsidR="00994BFA" w:rsidRPr="00503B7C">
        <w:rPr>
          <w:rFonts w:ascii="Times New Roman" w:hAnsi="Times New Roman" w:cs="Times New Roman"/>
          <w:sz w:val="24"/>
          <w:szCs w:val="24"/>
        </w:rPr>
        <w:t xml:space="preserve"> в неизменном виде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 мочой. Плазменный период полувыведения (Т ½) составляет примерно 19 часов. Период полувыведения не изменяется при увеличении дозы препарата. Средний геометрический плазменный клиренс составляет приблизительно 50 литров/час (коэффициент вариации 21.7%). Как и в случае других ингибиторов ГМГ-КоА</w:t>
      </w:r>
      <w:r w:rsidR="00020EAD" w:rsidRPr="00503B7C">
        <w:rPr>
          <w:rFonts w:ascii="Times New Roman" w:hAnsi="Times New Roman" w:cs="Times New Roman"/>
          <w:sz w:val="24"/>
          <w:szCs w:val="24"/>
        </w:rPr>
        <w:t>-</w:t>
      </w:r>
      <w:r w:rsidRPr="00503B7C">
        <w:rPr>
          <w:rFonts w:ascii="Times New Roman" w:hAnsi="Times New Roman" w:cs="Times New Roman"/>
          <w:sz w:val="24"/>
          <w:szCs w:val="24"/>
        </w:rPr>
        <w:t>редуктазы, в процесс печеночного захвата розувастатина вовлечен мембранный переносчик холестерина</w:t>
      </w:r>
      <w:r w:rsidR="00994BFA" w:rsidRPr="00503B7C">
        <w:rPr>
          <w:rFonts w:ascii="Times New Roman" w:hAnsi="Times New Roman" w:cs="Times New Roman"/>
          <w:sz w:val="24"/>
          <w:szCs w:val="24"/>
        </w:rPr>
        <w:t xml:space="preserve"> (транспортер OATP-C)</w:t>
      </w:r>
      <w:r w:rsidRPr="00503B7C">
        <w:rPr>
          <w:rFonts w:ascii="Times New Roman" w:hAnsi="Times New Roman" w:cs="Times New Roman"/>
          <w:sz w:val="24"/>
          <w:szCs w:val="24"/>
        </w:rPr>
        <w:t xml:space="preserve">, выполняющий  важную роль в печеночной элиминации </w:t>
      </w:r>
      <w:r w:rsidR="00151AE7" w:rsidRPr="00151AE7">
        <w:rPr>
          <w:rFonts w:ascii="Times New Roman" w:hAnsi="Times New Roman" w:cs="Times New Roman"/>
          <w:sz w:val="24"/>
          <w:szCs w:val="24"/>
        </w:rPr>
        <w:t>розувастатина</w:t>
      </w:r>
      <w:r w:rsidRPr="00503B7C">
        <w:rPr>
          <w:rFonts w:ascii="Times New Roman" w:hAnsi="Times New Roman" w:cs="Times New Roman"/>
          <w:sz w:val="24"/>
          <w:szCs w:val="24"/>
        </w:rPr>
        <w:t>.</w:t>
      </w:r>
    </w:p>
    <w:p w:rsidR="00A43592" w:rsidRPr="00503B7C" w:rsidRDefault="00A43592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Линейность</w:t>
      </w:r>
    </w:p>
    <w:p w:rsidR="00250CB8" w:rsidRPr="00503B7C" w:rsidRDefault="00250CB8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Системная экспозиция розувастатина увеличивается пропорционально дозе. </w:t>
      </w:r>
    </w:p>
    <w:p w:rsidR="00E21047" w:rsidRPr="00503B7C" w:rsidRDefault="004E222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После приема многократных доз никаких изменений в параметрах фармакокинетики не наблюдалось.</w:t>
      </w:r>
    </w:p>
    <w:p w:rsidR="003B4C7E" w:rsidRPr="00503B7C" w:rsidRDefault="003B4C7E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06BD" w:rsidRPr="00503B7C" w:rsidRDefault="00FE50DE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3B7C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Особые популяции </w:t>
      </w:r>
      <w:r w:rsidR="00C9142F" w:rsidRPr="00503B7C">
        <w:rPr>
          <w:rFonts w:ascii="Times New Roman" w:hAnsi="Times New Roman" w:cs="Times New Roman"/>
          <w:i/>
          <w:sz w:val="24"/>
          <w:szCs w:val="24"/>
          <w:u w:val="single"/>
        </w:rPr>
        <w:t xml:space="preserve">пациентов </w:t>
      </w:r>
    </w:p>
    <w:p w:rsidR="00C9142F" w:rsidRPr="00503B7C" w:rsidRDefault="00C9142F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Возраст и пол</w:t>
      </w:r>
    </w:p>
    <w:p w:rsidR="00C9142F" w:rsidRPr="00503B7C" w:rsidRDefault="00C9142F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Клинически важное влияние возраста или пола взрослых пациентов на фармакокинетику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розувастатина не наблюдалось. Воздействие на детей и подростков с гетерозиготной семейной гиперхолестеринемией, по-видимому, аналогично или ниже, чем у взрослых пациентов с дислипидемией.</w:t>
      </w:r>
    </w:p>
    <w:p w:rsidR="00C9142F" w:rsidRPr="00503B7C" w:rsidRDefault="00C9142F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Раса</w:t>
      </w:r>
    </w:p>
    <w:p w:rsidR="00C9142F" w:rsidRPr="00503B7C" w:rsidRDefault="00C9142F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ходе фармакокинетических исследований наблюдалось примерно двукратное повышение медианы AUC и C</w:t>
      </w:r>
      <w:r w:rsidRPr="00503B7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975D3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>у пациентов азиатского происхождения (японцы, китайцы, филиппинцы, вьетнамцы и корейцы) по сравнению с европеоидной расой. У пациентов азиатско-индийского происхождения наблюдалось увеличение медианы AUC и C</w:t>
      </w:r>
      <w:r w:rsidRPr="00503B7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1,3 раза. Фармакокинетический анализ популяции выявил отсутствие клинически значимых различий в фармакокинетике между группами европеоидной и негроидной рас.</w:t>
      </w:r>
    </w:p>
    <w:p w:rsidR="0060709A" w:rsidRPr="00503B7C" w:rsidRDefault="0060709A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Почечная недостаточность</w:t>
      </w:r>
    </w:p>
    <w:p w:rsidR="0060709A" w:rsidRPr="00503B7C" w:rsidRDefault="0060709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исследовании с участием пациентов с почечной недостаточност</w:t>
      </w:r>
      <w:r w:rsidR="005E1039" w:rsidRPr="00503B7C">
        <w:rPr>
          <w:rFonts w:ascii="Times New Roman" w:hAnsi="Times New Roman" w:cs="Times New Roman"/>
          <w:sz w:val="24"/>
          <w:szCs w:val="24"/>
        </w:rPr>
        <w:t>ью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5E1039" w:rsidRPr="00503B7C">
        <w:rPr>
          <w:rFonts w:ascii="Times New Roman" w:hAnsi="Times New Roman" w:cs="Times New Roman"/>
          <w:sz w:val="24"/>
          <w:szCs w:val="24"/>
        </w:rPr>
        <w:t xml:space="preserve">различной степени тяжести </w:t>
      </w:r>
      <w:r w:rsidRPr="00503B7C">
        <w:rPr>
          <w:rFonts w:ascii="Times New Roman" w:hAnsi="Times New Roman" w:cs="Times New Roman"/>
          <w:sz w:val="24"/>
          <w:szCs w:val="24"/>
        </w:rPr>
        <w:t xml:space="preserve">почечная недостаточность от легкой до умеренной степени не влияла на концентрацию розувастатина или N-десметилового метаболита в плазме крови. </w:t>
      </w:r>
      <w:r w:rsidR="005E1039" w:rsidRPr="00503B7C">
        <w:rPr>
          <w:rFonts w:ascii="Times New Roman" w:hAnsi="Times New Roman" w:cs="Times New Roman"/>
          <w:sz w:val="24"/>
          <w:szCs w:val="24"/>
        </w:rPr>
        <w:t>Пациенты</w:t>
      </w:r>
      <w:r w:rsidRPr="00503B7C">
        <w:rPr>
          <w:rFonts w:ascii="Times New Roman" w:hAnsi="Times New Roman" w:cs="Times New Roman"/>
          <w:sz w:val="24"/>
          <w:szCs w:val="24"/>
        </w:rPr>
        <w:t xml:space="preserve"> с тяжелыми нарушениями функции почек (CrCl&lt; 30 мл/мин) имели 3-кратное увеличение концентрации в плазме крови и 9-кратное увеличение концентрации N-десметил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метаболитов по сравнению со здоровыми добровольцами. </w:t>
      </w:r>
      <w:r w:rsidR="005E1039" w:rsidRPr="00503B7C">
        <w:rPr>
          <w:rFonts w:ascii="Times New Roman" w:hAnsi="Times New Roman" w:cs="Times New Roman"/>
          <w:sz w:val="24"/>
          <w:szCs w:val="24"/>
        </w:rPr>
        <w:t>К</w:t>
      </w:r>
      <w:r w:rsidRPr="00503B7C">
        <w:rPr>
          <w:rFonts w:ascii="Times New Roman" w:hAnsi="Times New Roman" w:cs="Times New Roman"/>
          <w:sz w:val="24"/>
          <w:szCs w:val="24"/>
        </w:rPr>
        <w:t>онцентрация</w:t>
      </w:r>
      <w:r w:rsidR="005E1039" w:rsidRPr="00503B7C">
        <w:rPr>
          <w:rFonts w:ascii="Times New Roman" w:hAnsi="Times New Roman" w:cs="Times New Roman"/>
          <w:sz w:val="24"/>
          <w:szCs w:val="24"/>
        </w:rPr>
        <w:t xml:space="preserve"> плазмы устойчивого состояния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Pr="00503B7C">
        <w:rPr>
          <w:rFonts w:ascii="Times New Roman" w:hAnsi="Times New Roman" w:cs="Times New Roman"/>
          <w:sz w:val="24"/>
          <w:szCs w:val="24"/>
        </w:rPr>
        <w:t xml:space="preserve">розувастатина в плазме крови у </w:t>
      </w:r>
      <w:r w:rsidR="005E1039" w:rsidRPr="00503B7C">
        <w:rPr>
          <w:rFonts w:ascii="Times New Roman" w:hAnsi="Times New Roman" w:cs="Times New Roman"/>
          <w:sz w:val="24"/>
          <w:szCs w:val="24"/>
        </w:rPr>
        <w:t>пациентов</w:t>
      </w:r>
      <w:r w:rsidRPr="00503B7C">
        <w:rPr>
          <w:rFonts w:ascii="Times New Roman" w:hAnsi="Times New Roman" w:cs="Times New Roman"/>
          <w:sz w:val="24"/>
          <w:szCs w:val="24"/>
        </w:rPr>
        <w:t xml:space="preserve"> на гемодиализе была примерно на 50 % выше, чем у здоровых добровольцев.</w:t>
      </w:r>
    </w:p>
    <w:p w:rsidR="00FE50DE" w:rsidRPr="00503B7C" w:rsidRDefault="00FE50DE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>Печеночная недостаточность</w:t>
      </w:r>
    </w:p>
    <w:p w:rsidR="00D306BD" w:rsidRPr="00503B7C" w:rsidRDefault="00AE44F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 исследовании с участием пациентов с нарушениями функции печени различной степени тяжести, доказательства повышенного воздействия розувастатина у пациентов с 7 баллами по шкале Чайлд-Пью и ниже отсутствовали. Однако у 2 пациентов с 8 и 9 баллами по шкале Чайлд-Пью было зарегистрировано повышение системного воздействия по крайней мере в 2 раза по сравнению с другими пациентами, имеющими более низкие баллы по шкале Чайлд-Пью. Опыт применения препарата у пациентов с баллами выше 9 по шкале Чайлд-Пью отсутствует.</w:t>
      </w:r>
    </w:p>
    <w:p w:rsidR="00FF3924" w:rsidRPr="00503B7C" w:rsidRDefault="00FF3924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 xml:space="preserve">Генетические полиморфизмы </w:t>
      </w:r>
    </w:p>
    <w:p w:rsidR="00FF3924" w:rsidRPr="00503B7C" w:rsidRDefault="00FF3924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Распределение ингибиторов ГМГ-КоА</w:t>
      </w:r>
      <w:r w:rsidR="00020EAD" w:rsidRPr="00503B7C">
        <w:rPr>
          <w:rFonts w:ascii="Times New Roman" w:hAnsi="Times New Roman" w:cs="Times New Roman"/>
          <w:sz w:val="24"/>
          <w:szCs w:val="24"/>
        </w:rPr>
        <w:t>-</w:t>
      </w:r>
      <w:r w:rsidRPr="00503B7C">
        <w:rPr>
          <w:rFonts w:ascii="Times New Roman" w:hAnsi="Times New Roman" w:cs="Times New Roman"/>
          <w:sz w:val="24"/>
          <w:szCs w:val="24"/>
        </w:rPr>
        <w:t>редуктазы, включая розувастатин, включает белки транспортеров OATP1B1 и BCRP. У пациентов с генетическим полиморфизмом SLCO1B1 (OATP1B1) и/или ABCG2 (BCRP) существует риск повышен</w:t>
      </w:r>
      <w:r w:rsidR="00020EAD" w:rsidRPr="00503B7C">
        <w:rPr>
          <w:rFonts w:ascii="Times New Roman" w:hAnsi="Times New Roman" w:cs="Times New Roman"/>
          <w:sz w:val="24"/>
          <w:szCs w:val="24"/>
        </w:rPr>
        <w:t>ного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воздействия розувастатина. Индивидуальный полиморфизм SLCO1B1 c.521CC и ABCG2 c.421AA ассоциирован с повышенным воздействием розувастатина (AUC) по сравнению с генотипами SLCO1B1 c.521TT или ABCG2 c.421CC. Этот специфический </w:t>
      </w:r>
      <w:r w:rsidRPr="00503B7C">
        <w:rPr>
          <w:rFonts w:ascii="Times New Roman" w:hAnsi="Times New Roman" w:cs="Times New Roman"/>
          <w:sz w:val="24"/>
          <w:szCs w:val="24"/>
        </w:rPr>
        <w:lastRenderedPageBreak/>
        <w:t xml:space="preserve">генотип не утвержден в клинической практике, но пациентам с подобными особыми типами полиморфизмов рекомендована пониженная ежедневная доза </w:t>
      </w:r>
      <w:r w:rsidR="00151AE7" w:rsidRPr="00151AE7">
        <w:rPr>
          <w:rFonts w:ascii="Times New Roman" w:hAnsi="Times New Roman" w:cs="Times New Roman"/>
          <w:sz w:val="24"/>
          <w:szCs w:val="24"/>
        </w:rPr>
        <w:t>розувастатина</w:t>
      </w:r>
      <w:r w:rsidRPr="00503B7C">
        <w:rPr>
          <w:rFonts w:ascii="Times New Roman" w:hAnsi="Times New Roman" w:cs="Times New Roman"/>
          <w:sz w:val="24"/>
          <w:szCs w:val="24"/>
        </w:rPr>
        <w:t>.</w:t>
      </w:r>
    </w:p>
    <w:p w:rsidR="00BB0896" w:rsidRPr="00503B7C" w:rsidRDefault="00BB0896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B7C">
        <w:rPr>
          <w:rFonts w:ascii="Times New Roman" w:hAnsi="Times New Roman" w:cs="Times New Roman"/>
          <w:i/>
          <w:sz w:val="24"/>
          <w:szCs w:val="24"/>
        </w:rPr>
        <w:t xml:space="preserve">Пациенты детского возраста </w:t>
      </w:r>
    </w:p>
    <w:p w:rsidR="00BB0896" w:rsidRPr="00503B7C" w:rsidRDefault="00BB0896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Два фармакокинетических исследования розувастатина (в виде таблеток) с участием пациентов детского возраста с гетерозиготной семейной гиперхолестеринемией в возрасте от 10 до 17 и от 6 до 17 лет (всего 214 пациентов) показали, что воздействие на пациентов детского возраста сопоставимо или ниже воздействия на взрослых пациентов. Воздействие розувастатина было предсказуемым в отношении дозы и времени на протяжении 2-летнего периода.</w:t>
      </w:r>
    </w:p>
    <w:p w:rsidR="00BB0896" w:rsidRPr="00503B7C" w:rsidRDefault="00BB0896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7BD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5.3. Данные доклинической безопасности</w:t>
      </w:r>
    </w:p>
    <w:p w:rsidR="00F627BD" w:rsidRPr="00503B7C" w:rsidRDefault="00F627BD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Согласно данным доклинических исследований, на основании традиц</w:t>
      </w:r>
      <w:r w:rsidR="004C00CC" w:rsidRPr="00503B7C">
        <w:rPr>
          <w:rFonts w:ascii="Times New Roman" w:hAnsi="Times New Roman" w:cs="Times New Roman"/>
          <w:sz w:val="24"/>
          <w:szCs w:val="24"/>
        </w:rPr>
        <w:t>ионных исследований фармакологи</w:t>
      </w:r>
      <w:r w:rsidR="000A2B1C" w:rsidRPr="00503B7C">
        <w:rPr>
          <w:rFonts w:ascii="Times New Roman" w:hAnsi="Times New Roman" w:cs="Times New Roman"/>
          <w:sz w:val="24"/>
          <w:szCs w:val="24"/>
        </w:rPr>
        <w:t>ческой</w:t>
      </w:r>
      <w:r w:rsidRPr="00503B7C">
        <w:rPr>
          <w:rFonts w:ascii="Times New Roman" w:hAnsi="Times New Roman" w:cs="Times New Roman"/>
          <w:sz w:val="24"/>
          <w:szCs w:val="24"/>
        </w:rPr>
        <w:t xml:space="preserve"> безопасности, генотоксичности и потенциал</w:t>
      </w:r>
      <w:r w:rsidR="00661FF7" w:rsidRPr="00503B7C">
        <w:rPr>
          <w:rFonts w:ascii="Times New Roman" w:hAnsi="Times New Roman" w:cs="Times New Roman"/>
          <w:sz w:val="24"/>
          <w:szCs w:val="24"/>
        </w:rPr>
        <w:t>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к канцерогенности</w:t>
      </w:r>
      <w:r w:rsidR="000A2B1C" w:rsidRPr="00503B7C">
        <w:rPr>
          <w:rFonts w:ascii="Times New Roman" w:hAnsi="Times New Roman" w:cs="Times New Roman"/>
          <w:sz w:val="24"/>
          <w:szCs w:val="24"/>
        </w:rPr>
        <w:t xml:space="preserve"> никаких особых рисков для людей обнаружено не было</w:t>
      </w:r>
      <w:r w:rsidRPr="00503B7C">
        <w:rPr>
          <w:rFonts w:ascii="Times New Roman" w:hAnsi="Times New Roman" w:cs="Times New Roman"/>
          <w:sz w:val="24"/>
          <w:szCs w:val="24"/>
        </w:rPr>
        <w:t xml:space="preserve">. </w:t>
      </w:r>
      <w:r w:rsidR="000A2B1C" w:rsidRPr="00503B7C">
        <w:rPr>
          <w:rFonts w:ascii="Times New Roman" w:hAnsi="Times New Roman" w:cs="Times New Roman"/>
          <w:sz w:val="24"/>
          <w:szCs w:val="24"/>
        </w:rPr>
        <w:t>Отдельные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испытания на определения воздействия на hERG не проводились.</w:t>
      </w:r>
    </w:p>
    <w:p w:rsidR="00E21047" w:rsidRPr="00503B7C" w:rsidRDefault="00F627BD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 xml:space="preserve">Нежелательные реакции, </w:t>
      </w:r>
      <w:r w:rsidR="000A2B1C" w:rsidRPr="00503B7C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03B7C">
        <w:rPr>
          <w:rFonts w:ascii="Times New Roman" w:hAnsi="Times New Roman" w:cs="Times New Roman"/>
          <w:sz w:val="24"/>
          <w:szCs w:val="24"/>
        </w:rPr>
        <w:t>не наблюда</w:t>
      </w:r>
      <w:r w:rsidR="000A2B1C" w:rsidRPr="00503B7C">
        <w:rPr>
          <w:rFonts w:ascii="Times New Roman" w:hAnsi="Times New Roman" w:cs="Times New Roman"/>
          <w:sz w:val="24"/>
          <w:szCs w:val="24"/>
        </w:rPr>
        <w:t>лись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клинических исследованиях, но </w:t>
      </w:r>
      <w:r w:rsidR="000A2B1C" w:rsidRPr="00503B7C">
        <w:rPr>
          <w:rFonts w:ascii="Times New Roman" w:hAnsi="Times New Roman" w:cs="Times New Roman"/>
          <w:sz w:val="24"/>
          <w:szCs w:val="24"/>
        </w:rPr>
        <w:t>наблюдались в исследованиях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0A2B1C" w:rsidRPr="00503B7C">
        <w:rPr>
          <w:rFonts w:ascii="Times New Roman" w:hAnsi="Times New Roman" w:cs="Times New Roman"/>
          <w:sz w:val="24"/>
          <w:szCs w:val="24"/>
        </w:rPr>
        <w:t xml:space="preserve">на </w:t>
      </w:r>
      <w:r w:rsidRPr="00503B7C">
        <w:rPr>
          <w:rFonts w:ascii="Times New Roman" w:hAnsi="Times New Roman" w:cs="Times New Roman"/>
          <w:sz w:val="24"/>
          <w:szCs w:val="24"/>
        </w:rPr>
        <w:t>животных при уровнях воздействия, аналогичных уровням клинического воздействия, были следующими</w:t>
      </w:r>
      <w:r w:rsidR="000A2B1C" w:rsidRPr="00503B7C">
        <w:rPr>
          <w:rFonts w:ascii="Times New Roman" w:hAnsi="Times New Roman" w:cs="Times New Roman"/>
          <w:sz w:val="24"/>
          <w:szCs w:val="24"/>
        </w:rPr>
        <w:t>:</w:t>
      </w:r>
      <w:r w:rsidR="00975D38">
        <w:rPr>
          <w:rFonts w:ascii="Times New Roman" w:hAnsi="Times New Roman" w:cs="Times New Roman"/>
          <w:sz w:val="24"/>
          <w:szCs w:val="24"/>
        </w:rPr>
        <w:t xml:space="preserve"> </w:t>
      </w:r>
      <w:r w:rsidR="000A2B1C" w:rsidRPr="00503B7C">
        <w:rPr>
          <w:rFonts w:ascii="Times New Roman" w:hAnsi="Times New Roman" w:cs="Times New Roman"/>
          <w:sz w:val="24"/>
          <w:szCs w:val="24"/>
        </w:rPr>
        <w:t>в</w:t>
      </w:r>
      <w:r w:rsidRPr="00503B7C">
        <w:rPr>
          <w:rFonts w:ascii="Times New Roman" w:hAnsi="Times New Roman" w:cs="Times New Roman"/>
          <w:sz w:val="24"/>
          <w:szCs w:val="24"/>
        </w:rPr>
        <w:t xml:space="preserve"> исследованиях токсичности при повторных дозах гистопатологические изменения печени, вероятно, обусловленные фармакологическим действием розувастатина, наблюдались у мышей, крыс и</w:t>
      </w:r>
      <w:r w:rsidR="000A2B1C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в меньшей степени при воздействии на желчный пузырь</w:t>
      </w:r>
      <w:r w:rsidR="000A2B1C" w:rsidRPr="00503B7C">
        <w:rPr>
          <w:rFonts w:ascii="Times New Roman" w:hAnsi="Times New Roman" w:cs="Times New Roman"/>
          <w:sz w:val="24"/>
          <w:szCs w:val="24"/>
        </w:rPr>
        <w:t>,</w:t>
      </w:r>
      <w:r w:rsidRPr="00503B7C">
        <w:rPr>
          <w:rFonts w:ascii="Times New Roman" w:hAnsi="Times New Roman" w:cs="Times New Roman"/>
          <w:sz w:val="24"/>
          <w:szCs w:val="24"/>
        </w:rPr>
        <w:t xml:space="preserve"> у собак, но не у обезьян. Кроме этого, наблюдалась тестикулярная токсичность у обезьян и собак при более высоких дозах. Репродуктивная токсичность была </w:t>
      </w:r>
      <w:r w:rsidR="00F77F50" w:rsidRPr="00503B7C">
        <w:rPr>
          <w:rFonts w:ascii="Times New Roman" w:hAnsi="Times New Roman" w:cs="Times New Roman"/>
          <w:sz w:val="24"/>
          <w:szCs w:val="24"/>
        </w:rPr>
        <w:t>обнаружена</w:t>
      </w:r>
      <w:r w:rsidRPr="00503B7C">
        <w:rPr>
          <w:rFonts w:ascii="Times New Roman" w:hAnsi="Times New Roman" w:cs="Times New Roman"/>
          <w:sz w:val="24"/>
          <w:szCs w:val="24"/>
        </w:rPr>
        <w:t xml:space="preserve"> у крыс с уменьшенны</w:t>
      </w:r>
      <w:r w:rsidR="00F77F50" w:rsidRPr="00503B7C">
        <w:rPr>
          <w:rFonts w:ascii="Times New Roman" w:hAnsi="Times New Roman" w:cs="Times New Roman"/>
          <w:sz w:val="24"/>
          <w:szCs w:val="24"/>
        </w:rPr>
        <w:t>ми размерами</w:t>
      </w:r>
      <w:r w:rsidRPr="00503B7C">
        <w:rPr>
          <w:rFonts w:ascii="Times New Roman" w:hAnsi="Times New Roman" w:cs="Times New Roman"/>
          <w:sz w:val="24"/>
          <w:szCs w:val="24"/>
        </w:rPr>
        <w:t xml:space="preserve"> помета, весом помета и выживаемостью</w:t>
      </w:r>
      <w:r w:rsidR="00F77F50" w:rsidRPr="00503B7C">
        <w:rPr>
          <w:rFonts w:ascii="Times New Roman" w:hAnsi="Times New Roman" w:cs="Times New Roman"/>
          <w:sz w:val="24"/>
          <w:szCs w:val="24"/>
        </w:rPr>
        <w:t xml:space="preserve"> помета</w:t>
      </w:r>
      <w:r w:rsidRPr="00503B7C">
        <w:rPr>
          <w:rFonts w:ascii="Times New Roman" w:hAnsi="Times New Roman" w:cs="Times New Roman"/>
          <w:sz w:val="24"/>
          <w:szCs w:val="24"/>
        </w:rPr>
        <w:t>, наблюдаемыми при дозах, токсичных для матери, где системное воздействие было в несколько раз выше уровня терапевтического воздействия.</w:t>
      </w:r>
    </w:p>
    <w:p w:rsidR="003B6B69" w:rsidRPr="00503B7C" w:rsidRDefault="003B6B69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6. ФАРМАЦЕВТИЧЕСКИЕ СВОЙСТВА</w:t>
      </w: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2" w:name="Par2319"/>
      <w:bookmarkEnd w:id="22"/>
      <w:r w:rsidRPr="00503B7C">
        <w:rPr>
          <w:rFonts w:ascii="Times New Roman" w:hAnsi="Times New Roman" w:cs="Times New Roman"/>
          <w:b/>
          <w:sz w:val="24"/>
          <w:szCs w:val="24"/>
        </w:rPr>
        <w:t>6.1. Перечень вспомогательных веществ</w:t>
      </w:r>
    </w:p>
    <w:p w:rsidR="00D9224A" w:rsidRPr="00D9224A" w:rsidRDefault="00D9224A" w:rsidP="00D9224A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9224A">
        <w:rPr>
          <w:rFonts w:eastAsia="Calibri"/>
          <w:bCs/>
          <w:caps/>
          <w:sz w:val="24"/>
          <w:szCs w:val="24"/>
          <w:highlight w:val="lightGray"/>
          <w:lang w:eastAsia="en-US"/>
        </w:rPr>
        <w:t>[согласно НД РК]</w:t>
      </w:r>
    </w:p>
    <w:p w:rsidR="00D9224A" w:rsidRPr="00D9224A" w:rsidRDefault="00D9224A" w:rsidP="00D9224A">
      <w:pPr>
        <w:tabs>
          <w:tab w:val="left" w:pos="7080"/>
        </w:tabs>
        <w:spacing w:line="276" w:lineRule="auto"/>
        <w:jc w:val="both"/>
        <w:rPr>
          <w:rFonts w:eastAsia="Calibri"/>
          <w:sz w:val="24"/>
          <w:szCs w:val="24"/>
          <w:highlight w:val="lightGray"/>
          <w:lang w:eastAsia="en-US"/>
        </w:rPr>
      </w:pPr>
      <w:r w:rsidRPr="00D9224A">
        <w:rPr>
          <w:rFonts w:eastAsia="Calibri"/>
          <w:sz w:val="24"/>
          <w:szCs w:val="24"/>
          <w:highlight w:val="lightGray"/>
          <w:lang w:val="en-US" w:eastAsia="en-US"/>
        </w:rPr>
        <w:t>xxxxx</w:t>
      </w:r>
    </w:p>
    <w:p w:rsidR="00D9224A" w:rsidRPr="00D9224A" w:rsidRDefault="00D9224A" w:rsidP="00D9224A">
      <w:pPr>
        <w:tabs>
          <w:tab w:val="left" w:pos="7080"/>
        </w:tabs>
        <w:spacing w:line="276" w:lineRule="auto"/>
        <w:jc w:val="both"/>
        <w:rPr>
          <w:rFonts w:eastAsia="Calibri"/>
          <w:sz w:val="24"/>
          <w:szCs w:val="24"/>
          <w:highlight w:val="lightGray"/>
          <w:lang w:eastAsia="en-US"/>
        </w:rPr>
      </w:pPr>
      <w:r w:rsidRPr="00D9224A">
        <w:rPr>
          <w:rFonts w:eastAsia="Calibri"/>
          <w:sz w:val="24"/>
          <w:szCs w:val="24"/>
          <w:highlight w:val="lightGray"/>
          <w:lang w:val="en-US" w:eastAsia="en-US"/>
        </w:rPr>
        <w:t>xxxxx</w:t>
      </w:r>
    </w:p>
    <w:p w:rsidR="00D9224A" w:rsidRPr="00D9224A" w:rsidRDefault="00D9224A" w:rsidP="00D9224A">
      <w:pPr>
        <w:tabs>
          <w:tab w:val="left" w:pos="7080"/>
        </w:tabs>
        <w:spacing w:line="276" w:lineRule="auto"/>
        <w:jc w:val="both"/>
        <w:rPr>
          <w:rFonts w:eastAsia="Calibri"/>
          <w:sz w:val="24"/>
          <w:szCs w:val="24"/>
          <w:highlight w:val="lightGray"/>
          <w:lang w:eastAsia="en-US"/>
        </w:rPr>
      </w:pPr>
      <w:r w:rsidRPr="00D9224A">
        <w:rPr>
          <w:rFonts w:eastAsia="Calibri"/>
          <w:sz w:val="24"/>
          <w:szCs w:val="24"/>
          <w:highlight w:val="lightGray"/>
          <w:lang w:val="en-US" w:eastAsia="en-US"/>
        </w:rPr>
        <w:t>xxxxx</w:t>
      </w:r>
    </w:p>
    <w:p w:rsidR="00505AEB" w:rsidRDefault="00D9224A" w:rsidP="00D9224A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24A">
        <w:rPr>
          <w:rFonts w:ascii="Times New Roman" w:eastAsia="Calibri" w:hAnsi="Times New Roman" w:cs="Times New Roman"/>
          <w:sz w:val="24"/>
          <w:szCs w:val="24"/>
          <w:highlight w:val="lightGray"/>
          <w:lang w:val="en-US" w:eastAsia="en-US"/>
        </w:rPr>
        <w:t>xxxxx</w:t>
      </w:r>
    </w:p>
    <w:p w:rsidR="00D9224A" w:rsidRPr="00D9224A" w:rsidRDefault="00D9224A" w:rsidP="00D92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6.2. Несовместимость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Не применимо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3" w:name="Par2327"/>
      <w:bookmarkEnd w:id="23"/>
      <w:r w:rsidRPr="00503B7C">
        <w:rPr>
          <w:rFonts w:ascii="Times New Roman" w:hAnsi="Times New Roman" w:cs="Times New Roman"/>
          <w:b/>
          <w:sz w:val="24"/>
          <w:szCs w:val="24"/>
        </w:rPr>
        <w:t>6.3. Срок годности</w:t>
      </w:r>
    </w:p>
    <w:p w:rsidR="00D9224A" w:rsidRPr="00D9224A" w:rsidRDefault="00D9224A" w:rsidP="00D9224A">
      <w:pPr>
        <w:tabs>
          <w:tab w:val="left" w:pos="708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9224A">
        <w:rPr>
          <w:rFonts w:eastAsia="Calibri"/>
          <w:bCs/>
          <w:caps/>
          <w:sz w:val="24"/>
          <w:szCs w:val="24"/>
          <w:highlight w:val="lightGray"/>
          <w:lang w:eastAsia="en-US"/>
        </w:rPr>
        <w:t>[согласно НД РК]</w:t>
      </w:r>
    </w:p>
    <w:p w:rsidR="000547C0" w:rsidRPr="00503B7C" w:rsidRDefault="000547C0" w:rsidP="00D92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  <w:lang w:bidi="ru-RU"/>
        </w:rPr>
        <w:t>Не применять по истечении срока годности.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6.4. Особые меры предосторожности при хранении</w:t>
      </w:r>
    </w:p>
    <w:p w:rsidR="00195DB6" w:rsidRPr="00503B7C" w:rsidRDefault="00D9224A" w:rsidP="00503B7C">
      <w:pPr>
        <w:ind w:right="57"/>
        <w:jc w:val="both"/>
        <w:rPr>
          <w:sz w:val="24"/>
          <w:szCs w:val="24"/>
        </w:rPr>
      </w:pPr>
      <w:r w:rsidRPr="00D9224A">
        <w:rPr>
          <w:bCs/>
          <w:caps/>
          <w:sz w:val="24"/>
          <w:szCs w:val="24"/>
          <w:highlight w:val="lightGray"/>
        </w:rPr>
        <w:t>[условия хранения согласно НД РК</w:t>
      </w:r>
    </w:p>
    <w:p w:rsidR="00195DB6" w:rsidRPr="00503B7C" w:rsidRDefault="00195DB6" w:rsidP="00503B7C">
      <w:pPr>
        <w:ind w:right="57"/>
        <w:jc w:val="both"/>
        <w:rPr>
          <w:sz w:val="24"/>
          <w:szCs w:val="24"/>
        </w:rPr>
      </w:pPr>
      <w:r w:rsidRPr="00503B7C">
        <w:rPr>
          <w:sz w:val="24"/>
          <w:szCs w:val="24"/>
        </w:rPr>
        <w:t>Хранить в недоступном для детей месте!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0547C0" w:rsidRPr="00503B7C">
        <w:rPr>
          <w:rFonts w:ascii="Times New Roman" w:hAnsi="Times New Roman" w:cs="Times New Roman"/>
          <w:b/>
          <w:sz w:val="24"/>
          <w:szCs w:val="24"/>
        </w:rPr>
        <w:t>Форма выпуска и</w:t>
      </w:r>
      <w:r w:rsidRPr="00503B7C">
        <w:rPr>
          <w:rFonts w:ascii="Times New Roman" w:hAnsi="Times New Roman" w:cs="Times New Roman"/>
          <w:b/>
          <w:sz w:val="24"/>
          <w:szCs w:val="24"/>
        </w:rPr>
        <w:t xml:space="preserve"> упаковк</w:t>
      </w:r>
      <w:r w:rsidR="000547C0" w:rsidRPr="00503B7C">
        <w:rPr>
          <w:rFonts w:ascii="Times New Roman" w:hAnsi="Times New Roman" w:cs="Times New Roman"/>
          <w:b/>
          <w:sz w:val="24"/>
          <w:szCs w:val="24"/>
        </w:rPr>
        <w:t>а</w:t>
      </w:r>
    </w:p>
    <w:p w:rsidR="00F606FA" w:rsidRDefault="00D9224A" w:rsidP="00503B7C">
      <w:pPr>
        <w:pStyle w:val="ConsPlusNormal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[Описание упаковки согласно НД РК]</w:t>
      </w:r>
    </w:p>
    <w:p w:rsidR="00D9224A" w:rsidRPr="00503B7C" w:rsidRDefault="00D9224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4" w:name="Par2336"/>
      <w:bookmarkEnd w:id="24"/>
      <w:r w:rsidRPr="00503B7C">
        <w:rPr>
          <w:rFonts w:ascii="Times New Roman" w:hAnsi="Times New Roman" w:cs="Times New Roman"/>
          <w:b/>
          <w:sz w:val="24"/>
          <w:szCs w:val="24"/>
        </w:rPr>
        <w:t xml:space="preserve">6.6 Особые меры предосторожности при уничтожении использованного лекарственного препарата или отходов, полученных после применения </w:t>
      </w:r>
      <w:r w:rsidRPr="00503B7C">
        <w:rPr>
          <w:rFonts w:ascii="Times New Roman" w:hAnsi="Times New Roman" w:cs="Times New Roman"/>
          <w:b/>
          <w:sz w:val="24"/>
          <w:szCs w:val="24"/>
        </w:rPr>
        <w:lastRenderedPageBreak/>
        <w:t>лекарствен</w:t>
      </w:r>
      <w:r w:rsidR="00F60E8D" w:rsidRPr="00503B7C">
        <w:rPr>
          <w:rFonts w:ascii="Times New Roman" w:hAnsi="Times New Roman" w:cs="Times New Roman"/>
          <w:b/>
          <w:sz w:val="24"/>
          <w:szCs w:val="24"/>
        </w:rPr>
        <w:t>ного препарата или работы с ним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sz w:val="24"/>
          <w:szCs w:val="24"/>
        </w:rPr>
        <w:t>Весь оставшийся лекарственный препарат и отходы следует уничтожить в установленном порядке.</w:t>
      </w:r>
    </w:p>
    <w:p w:rsidR="00F92DAD" w:rsidRPr="00503B7C" w:rsidRDefault="00F92DAD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2DAD" w:rsidRPr="00503B7C" w:rsidRDefault="00F92DAD" w:rsidP="00503B7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03B7C">
        <w:rPr>
          <w:b/>
          <w:bCs/>
          <w:sz w:val="24"/>
          <w:szCs w:val="24"/>
        </w:rPr>
        <w:t xml:space="preserve">6.7 Условия отпуска из аптек </w:t>
      </w:r>
    </w:p>
    <w:p w:rsidR="00F92DAD" w:rsidRPr="00503B7C" w:rsidRDefault="00F92DAD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B7C">
        <w:rPr>
          <w:rFonts w:ascii="Times New Roman" w:hAnsi="Times New Roman" w:cs="Times New Roman"/>
          <w:bCs/>
          <w:sz w:val="24"/>
          <w:szCs w:val="24"/>
        </w:rPr>
        <w:t>По рецепту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7. ДЕРЖАТЕЛЬ РЕГИСТРАЦИОННОГО УДОСТОВЕРЕНИЯ</w:t>
      </w:r>
    </w:p>
    <w:p w:rsidR="00CA6CD6" w:rsidRPr="00503B7C" w:rsidRDefault="00D9224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E21047" w:rsidRPr="00503B7C" w:rsidRDefault="00E21047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7.1. ПРЕДСТАВИТЕЛЬ ДЕРЖАТЕЛЯ РЕГИСТРАЦИОННОГО УДОСТОВЕРЕНИЯ</w:t>
      </w:r>
    </w:p>
    <w:p w:rsidR="00D677D9" w:rsidRDefault="00D9224A" w:rsidP="00503B7C">
      <w:pPr>
        <w:pStyle w:val="ConsPlusNormal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D9224A" w:rsidRPr="00503B7C" w:rsidRDefault="00D9224A" w:rsidP="00503B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8. НОМЕР РЕГИСТРАЦИОННОГО УДОСТОВЕРЕНИЯ</w:t>
      </w:r>
    </w:p>
    <w:p w:rsidR="00854052" w:rsidRDefault="00D9224A" w:rsidP="00503B7C">
      <w:pPr>
        <w:pStyle w:val="ConsPlusNormal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D9224A" w:rsidRPr="00503B7C" w:rsidRDefault="00D9224A" w:rsidP="00503B7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9. ДАТА ПЕРВИЧНОЙ РЕГИСТРАЦИИ (ПОДТВЕРЖДЕНИЯ РЕГИСТРАЦИИ, ПЕРЕРЕГИСТРАЦИИ)</w:t>
      </w:r>
    </w:p>
    <w:p w:rsidR="00E21047" w:rsidRDefault="00D9224A" w:rsidP="00503B7C">
      <w:pPr>
        <w:pStyle w:val="ConsPlusNormal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D9224A" w:rsidRPr="00503B7C" w:rsidRDefault="00D9224A" w:rsidP="00503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047" w:rsidRPr="00503B7C" w:rsidRDefault="00E21047" w:rsidP="00503B7C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03B7C">
        <w:rPr>
          <w:rFonts w:ascii="Times New Roman" w:hAnsi="Times New Roman" w:cs="Times New Roman"/>
          <w:b/>
          <w:sz w:val="24"/>
          <w:szCs w:val="24"/>
        </w:rPr>
        <w:t>10. ДАТА ПЕРЕСМОТРА ТЕКСТА</w:t>
      </w:r>
    </w:p>
    <w:p w:rsidR="0049155E" w:rsidRPr="00503B7C" w:rsidRDefault="00DD7F0C" w:rsidP="00503B7C">
      <w:pPr>
        <w:jc w:val="both"/>
        <w:rPr>
          <w:rFonts w:eastAsiaTheme="minorEastAsia"/>
          <w:sz w:val="24"/>
          <w:szCs w:val="24"/>
        </w:rPr>
      </w:pPr>
      <w:r w:rsidRPr="00503B7C">
        <w:rPr>
          <w:rFonts w:eastAsiaTheme="minorEastAsia"/>
          <w:sz w:val="24"/>
          <w:szCs w:val="24"/>
        </w:rPr>
        <w:t xml:space="preserve">Общая характеристика лекарственного препарата доступна на официальном сайте </w:t>
      </w:r>
      <w:hyperlink r:id="rId10" w:history="1">
        <w:r w:rsidRPr="00503B7C">
          <w:rPr>
            <w:rStyle w:val="a3"/>
            <w:rFonts w:eastAsiaTheme="minorEastAsia"/>
            <w:color w:val="auto"/>
            <w:sz w:val="24"/>
            <w:szCs w:val="24"/>
          </w:rPr>
          <w:t>http://www.ndda.kz</w:t>
        </w:r>
      </w:hyperlink>
    </w:p>
    <w:p w:rsidR="00DD7F0C" w:rsidRPr="00503B7C" w:rsidRDefault="00DD7F0C" w:rsidP="00503B7C">
      <w:pPr>
        <w:jc w:val="both"/>
        <w:rPr>
          <w:sz w:val="24"/>
          <w:szCs w:val="24"/>
        </w:rPr>
      </w:pPr>
    </w:p>
    <w:sectPr w:rsidR="00DD7F0C" w:rsidRPr="00503B7C" w:rsidSect="00035B00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64" w:rsidRDefault="00311464" w:rsidP="000F701C">
      <w:r>
        <w:separator/>
      </w:r>
    </w:p>
  </w:endnote>
  <w:endnote w:type="continuationSeparator" w:id="0">
    <w:p w:rsidR="00311464" w:rsidRDefault="00311464" w:rsidP="000F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20B0604020202020204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64" w:rsidRDefault="00311464" w:rsidP="000F701C">
      <w:r>
        <w:separator/>
      </w:r>
    </w:p>
  </w:footnote>
  <w:footnote w:type="continuationSeparator" w:id="0">
    <w:p w:rsidR="00311464" w:rsidRDefault="00311464" w:rsidP="000F7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92" w:rsidRDefault="005D4192" w:rsidP="000F701C">
    <w:pPr>
      <w:pStyle w:val="af"/>
      <w:tabs>
        <w:tab w:val="right" w:pos="9072"/>
      </w:tabs>
      <w:ind w:left="1440"/>
      <w:jc w:val="right"/>
    </w:pPr>
    <w:r>
      <w:rPr>
        <w:b/>
        <w:lang w:val="kk-KZ"/>
      </w:rPr>
      <w:t>Версия</w:t>
    </w:r>
    <w:r w:rsidRPr="0026073C">
      <w:rPr>
        <w:b/>
      </w:rPr>
      <w:t xml:space="preserve"> 1  </w:t>
    </w:r>
    <w:r>
      <w:rPr>
        <w:b/>
        <w:lang w:val="kk-KZ"/>
      </w:rPr>
      <w:t xml:space="preserve">Дата обновления </w:t>
    </w:r>
    <w:r w:rsidRPr="0026073C">
      <w:rPr>
        <w:b/>
      </w:rPr>
      <w:t xml:space="preserve"> </w:t>
    </w:r>
    <w:r>
      <w:rPr>
        <w:b/>
      </w:rPr>
      <w:t>1</w:t>
    </w:r>
    <w:r>
      <w:rPr>
        <w:b/>
        <w:lang w:val="en-US"/>
      </w:rPr>
      <w:t>7</w:t>
    </w:r>
    <w:r w:rsidRPr="0026073C">
      <w:rPr>
        <w:b/>
      </w:rPr>
      <w:t>.1</w:t>
    </w:r>
    <w:r>
      <w:rPr>
        <w:b/>
      </w:rPr>
      <w:t>1</w:t>
    </w:r>
    <w:r w:rsidRPr="0026073C">
      <w:rPr>
        <w:b/>
      </w:rPr>
      <w:t>.2022</w:t>
    </w:r>
  </w:p>
  <w:p w:rsidR="005D4192" w:rsidRDefault="005D419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E14"/>
    <w:multiLevelType w:val="hybridMultilevel"/>
    <w:tmpl w:val="CBBC8640"/>
    <w:lvl w:ilvl="0" w:tplc="4658F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C31BB"/>
    <w:multiLevelType w:val="hybridMultilevel"/>
    <w:tmpl w:val="2A3A70A6"/>
    <w:lvl w:ilvl="0" w:tplc="77E4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C4A43"/>
    <w:multiLevelType w:val="hybridMultilevel"/>
    <w:tmpl w:val="742A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A7646"/>
    <w:multiLevelType w:val="hybridMultilevel"/>
    <w:tmpl w:val="4BA4292C"/>
    <w:lvl w:ilvl="0" w:tplc="C630CAB6">
      <w:start w:val="1"/>
      <w:numFmt w:val="decimal"/>
      <w:lvlText w:val="%1"/>
      <w:lvlJc w:val="left"/>
      <w:pPr>
        <w:ind w:left="595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">
    <w:nsid w:val="4753770E"/>
    <w:multiLevelType w:val="hybridMultilevel"/>
    <w:tmpl w:val="32BA505A"/>
    <w:lvl w:ilvl="0" w:tplc="252C5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F7969"/>
    <w:multiLevelType w:val="hybridMultilevel"/>
    <w:tmpl w:val="573291C4"/>
    <w:lvl w:ilvl="0" w:tplc="77E4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870F9"/>
    <w:multiLevelType w:val="hybridMultilevel"/>
    <w:tmpl w:val="7E527336"/>
    <w:lvl w:ilvl="0" w:tplc="3FA6517E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AD60546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en-US"/>
      </w:rPr>
    </w:lvl>
    <w:lvl w:ilvl="2" w:tplc="B5DA233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3" w:tplc="4EDEEF08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  <w:lvl w:ilvl="4" w:tplc="A94A1760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en-US"/>
      </w:rPr>
    </w:lvl>
    <w:lvl w:ilvl="5" w:tplc="0F94124C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en-US"/>
      </w:rPr>
    </w:lvl>
    <w:lvl w:ilvl="6" w:tplc="5A225FBE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en-US"/>
      </w:rPr>
    </w:lvl>
    <w:lvl w:ilvl="7" w:tplc="96B044D0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en-US"/>
      </w:rPr>
    </w:lvl>
    <w:lvl w:ilvl="8" w:tplc="32BCB822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en-US"/>
      </w:rPr>
    </w:lvl>
  </w:abstractNum>
  <w:abstractNum w:abstractNumId="7">
    <w:nsid w:val="6D232783"/>
    <w:multiLevelType w:val="hybridMultilevel"/>
    <w:tmpl w:val="18723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46CCB"/>
    <w:multiLevelType w:val="hybridMultilevel"/>
    <w:tmpl w:val="00F4F42A"/>
    <w:lvl w:ilvl="0" w:tplc="A20AD292">
      <w:numFmt w:val="bullet"/>
      <w:lvlText w:val=""/>
      <w:lvlJc w:val="left"/>
      <w:pPr>
        <w:ind w:left="1015" w:hanging="43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D6C1BD2">
      <w:numFmt w:val="bullet"/>
      <w:lvlText w:val="•"/>
      <w:lvlJc w:val="left"/>
      <w:pPr>
        <w:ind w:left="1928" w:hanging="432"/>
      </w:pPr>
      <w:rPr>
        <w:rFonts w:hint="default"/>
        <w:lang w:val="en-US" w:eastAsia="en-US" w:bidi="en-US"/>
      </w:rPr>
    </w:lvl>
    <w:lvl w:ilvl="2" w:tplc="883C1090">
      <w:numFmt w:val="bullet"/>
      <w:lvlText w:val="•"/>
      <w:lvlJc w:val="left"/>
      <w:pPr>
        <w:ind w:left="2837" w:hanging="432"/>
      </w:pPr>
      <w:rPr>
        <w:rFonts w:hint="default"/>
        <w:lang w:val="en-US" w:eastAsia="en-US" w:bidi="en-US"/>
      </w:rPr>
    </w:lvl>
    <w:lvl w:ilvl="3" w:tplc="EB7CBA10">
      <w:numFmt w:val="bullet"/>
      <w:lvlText w:val="•"/>
      <w:lvlJc w:val="left"/>
      <w:pPr>
        <w:ind w:left="3745" w:hanging="432"/>
      </w:pPr>
      <w:rPr>
        <w:rFonts w:hint="default"/>
        <w:lang w:val="en-US" w:eastAsia="en-US" w:bidi="en-US"/>
      </w:rPr>
    </w:lvl>
    <w:lvl w:ilvl="4" w:tplc="8BA83436">
      <w:numFmt w:val="bullet"/>
      <w:lvlText w:val="•"/>
      <w:lvlJc w:val="left"/>
      <w:pPr>
        <w:ind w:left="4654" w:hanging="432"/>
      </w:pPr>
      <w:rPr>
        <w:rFonts w:hint="default"/>
        <w:lang w:val="en-US" w:eastAsia="en-US" w:bidi="en-US"/>
      </w:rPr>
    </w:lvl>
    <w:lvl w:ilvl="5" w:tplc="5BCE6F72">
      <w:numFmt w:val="bullet"/>
      <w:lvlText w:val="•"/>
      <w:lvlJc w:val="left"/>
      <w:pPr>
        <w:ind w:left="5562" w:hanging="432"/>
      </w:pPr>
      <w:rPr>
        <w:rFonts w:hint="default"/>
        <w:lang w:val="en-US" w:eastAsia="en-US" w:bidi="en-US"/>
      </w:rPr>
    </w:lvl>
    <w:lvl w:ilvl="6" w:tplc="D65289AA">
      <w:numFmt w:val="bullet"/>
      <w:lvlText w:val="•"/>
      <w:lvlJc w:val="left"/>
      <w:pPr>
        <w:ind w:left="6471" w:hanging="432"/>
      </w:pPr>
      <w:rPr>
        <w:rFonts w:hint="default"/>
        <w:lang w:val="en-US" w:eastAsia="en-US" w:bidi="en-US"/>
      </w:rPr>
    </w:lvl>
    <w:lvl w:ilvl="7" w:tplc="A4B42220">
      <w:numFmt w:val="bullet"/>
      <w:lvlText w:val="•"/>
      <w:lvlJc w:val="left"/>
      <w:pPr>
        <w:ind w:left="7379" w:hanging="432"/>
      </w:pPr>
      <w:rPr>
        <w:rFonts w:hint="default"/>
        <w:lang w:val="en-US" w:eastAsia="en-US" w:bidi="en-US"/>
      </w:rPr>
    </w:lvl>
    <w:lvl w:ilvl="8" w:tplc="81369724">
      <w:numFmt w:val="bullet"/>
      <w:lvlText w:val="•"/>
      <w:lvlJc w:val="left"/>
      <w:pPr>
        <w:ind w:left="8288" w:hanging="432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10"/>
    <w:rsid w:val="0000269E"/>
    <w:rsid w:val="000041CC"/>
    <w:rsid w:val="00006420"/>
    <w:rsid w:val="00007E8A"/>
    <w:rsid w:val="000108CE"/>
    <w:rsid w:val="00012E0D"/>
    <w:rsid w:val="00016535"/>
    <w:rsid w:val="0001668B"/>
    <w:rsid w:val="00020EAD"/>
    <w:rsid w:val="00023BE0"/>
    <w:rsid w:val="000240F4"/>
    <w:rsid w:val="00024390"/>
    <w:rsid w:val="00026A09"/>
    <w:rsid w:val="00026A61"/>
    <w:rsid w:val="00027C8D"/>
    <w:rsid w:val="00031D60"/>
    <w:rsid w:val="00031E40"/>
    <w:rsid w:val="00033DE5"/>
    <w:rsid w:val="00035B00"/>
    <w:rsid w:val="00036C54"/>
    <w:rsid w:val="00036E4D"/>
    <w:rsid w:val="0003771A"/>
    <w:rsid w:val="00041147"/>
    <w:rsid w:val="00041F34"/>
    <w:rsid w:val="000463C3"/>
    <w:rsid w:val="000468AE"/>
    <w:rsid w:val="000471B0"/>
    <w:rsid w:val="00050322"/>
    <w:rsid w:val="000510FA"/>
    <w:rsid w:val="000513AB"/>
    <w:rsid w:val="00053A3A"/>
    <w:rsid w:val="00054215"/>
    <w:rsid w:val="000547C0"/>
    <w:rsid w:val="00055471"/>
    <w:rsid w:val="00056E58"/>
    <w:rsid w:val="000574F7"/>
    <w:rsid w:val="0005794E"/>
    <w:rsid w:val="000632D3"/>
    <w:rsid w:val="00063337"/>
    <w:rsid w:val="00064A54"/>
    <w:rsid w:val="00064DBD"/>
    <w:rsid w:val="0006719E"/>
    <w:rsid w:val="00067BAB"/>
    <w:rsid w:val="00070828"/>
    <w:rsid w:val="00071FB2"/>
    <w:rsid w:val="00076D61"/>
    <w:rsid w:val="00077BD4"/>
    <w:rsid w:val="00082743"/>
    <w:rsid w:val="00086521"/>
    <w:rsid w:val="00086D85"/>
    <w:rsid w:val="000878EE"/>
    <w:rsid w:val="00087F88"/>
    <w:rsid w:val="0009024C"/>
    <w:rsid w:val="00090D0B"/>
    <w:rsid w:val="000917A4"/>
    <w:rsid w:val="00093EFE"/>
    <w:rsid w:val="00095C21"/>
    <w:rsid w:val="0009744B"/>
    <w:rsid w:val="000A2001"/>
    <w:rsid w:val="000A2B1C"/>
    <w:rsid w:val="000A7454"/>
    <w:rsid w:val="000A78F8"/>
    <w:rsid w:val="000A7B56"/>
    <w:rsid w:val="000B13B6"/>
    <w:rsid w:val="000B1AD3"/>
    <w:rsid w:val="000B2C19"/>
    <w:rsid w:val="000B70D7"/>
    <w:rsid w:val="000B757B"/>
    <w:rsid w:val="000C2049"/>
    <w:rsid w:val="000C3BBC"/>
    <w:rsid w:val="000C521A"/>
    <w:rsid w:val="000C5F24"/>
    <w:rsid w:val="000D45CF"/>
    <w:rsid w:val="000D4DFF"/>
    <w:rsid w:val="000D5461"/>
    <w:rsid w:val="000D5555"/>
    <w:rsid w:val="000E43EF"/>
    <w:rsid w:val="000E466D"/>
    <w:rsid w:val="000E4A4F"/>
    <w:rsid w:val="000E5040"/>
    <w:rsid w:val="000E51D1"/>
    <w:rsid w:val="000E68A8"/>
    <w:rsid w:val="000F1460"/>
    <w:rsid w:val="000F701C"/>
    <w:rsid w:val="00104EAE"/>
    <w:rsid w:val="00105FA5"/>
    <w:rsid w:val="00106127"/>
    <w:rsid w:val="00107F40"/>
    <w:rsid w:val="001113CD"/>
    <w:rsid w:val="001113DB"/>
    <w:rsid w:val="00113A46"/>
    <w:rsid w:val="00116AFB"/>
    <w:rsid w:val="00117B93"/>
    <w:rsid w:val="00121AA2"/>
    <w:rsid w:val="00122FA6"/>
    <w:rsid w:val="001231E9"/>
    <w:rsid w:val="001238E1"/>
    <w:rsid w:val="001243E8"/>
    <w:rsid w:val="00124DFE"/>
    <w:rsid w:val="00125427"/>
    <w:rsid w:val="0012596E"/>
    <w:rsid w:val="00127849"/>
    <w:rsid w:val="00127BE6"/>
    <w:rsid w:val="0013185E"/>
    <w:rsid w:val="0013272A"/>
    <w:rsid w:val="0013309F"/>
    <w:rsid w:val="001334C5"/>
    <w:rsid w:val="00135C3B"/>
    <w:rsid w:val="00140C58"/>
    <w:rsid w:val="001427FF"/>
    <w:rsid w:val="00143579"/>
    <w:rsid w:val="00151AE7"/>
    <w:rsid w:val="00154899"/>
    <w:rsid w:val="001558C4"/>
    <w:rsid w:val="00156B8E"/>
    <w:rsid w:val="00160ED1"/>
    <w:rsid w:val="001610B3"/>
    <w:rsid w:val="00162623"/>
    <w:rsid w:val="00164D44"/>
    <w:rsid w:val="00164EFD"/>
    <w:rsid w:val="00167728"/>
    <w:rsid w:val="00171CC9"/>
    <w:rsid w:val="00172B3E"/>
    <w:rsid w:val="00176E85"/>
    <w:rsid w:val="00180BCD"/>
    <w:rsid w:val="00184260"/>
    <w:rsid w:val="00184DD8"/>
    <w:rsid w:val="001907DB"/>
    <w:rsid w:val="00190C2B"/>
    <w:rsid w:val="00191D07"/>
    <w:rsid w:val="001937EB"/>
    <w:rsid w:val="00195C7E"/>
    <w:rsid w:val="00195DB6"/>
    <w:rsid w:val="001A2C4F"/>
    <w:rsid w:val="001A3798"/>
    <w:rsid w:val="001A5128"/>
    <w:rsid w:val="001A7C6D"/>
    <w:rsid w:val="001B2AD4"/>
    <w:rsid w:val="001B474D"/>
    <w:rsid w:val="001B4F82"/>
    <w:rsid w:val="001B6581"/>
    <w:rsid w:val="001B68DB"/>
    <w:rsid w:val="001C1F55"/>
    <w:rsid w:val="001C2136"/>
    <w:rsid w:val="001C2BF0"/>
    <w:rsid w:val="001C486C"/>
    <w:rsid w:val="001C645D"/>
    <w:rsid w:val="001C71C4"/>
    <w:rsid w:val="001C7AED"/>
    <w:rsid w:val="001C7C0A"/>
    <w:rsid w:val="001D42B2"/>
    <w:rsid w:val="001D45C3"/>
    <w:rsid w:val="001D4865"/>
    <w:rsid w:val="001D5D56"/>
    <w:rsid w:val="001D7A68"/>
    <w:rsid w:val="001E0D1F"/>
    <w:rsid w:val="001E31E6"/>
    <w:rsid w:val="001E33B7"/>
    <w:rsid w:val="001E66CD"/>
    <w:rsid w:val="001E6CC1"/>
    <w:rsid w:val="001E6EF0"/>
    <w:rsid w:val="001E706D"/>
    <w:rsid w:val="001F1036"/>
    <w:rsid w:val="001F4E66"/>
    <w:rsid w:val="001F6B26"/>
    <w:rsid w:val="001F7EC6"/>
    <w:rsid w:val="002010FF"/>
    <w:rsid w:val="0020143D"/>
    <w:rsid w:val="00212109"/>
    <w:rsid w:val="002131FC"/>
    <w:rsid w:val="00217FFB"/>
    <w:rsid w:val="00222400"/>
    <w:rsid w:val="00224416"/>
    <w:rsid w:val="00224D36"/>
    <w:rsid w:val="00227498"/>
    <w:rsid w:val="00234F06"/>
    <w:rsid w:val="002362CB"/>
    <w:rsid w:val="00241565"/>
    <w:rsid w:val="00242CF9"/>
    <w:rsid w:val="00244F60"/>
    <w:rsid w:val="00250CB8"/>
    <w:rsid w:val="00250FDE"/>
    <w:rsid w:val="002524F9"/>
    <w:rsid w:val="00254423"/>
    <w:rsid w:val="0025652E"/>
    <w:rsid w:val="002570E2"/>
    <w:rsid w:val="00257288"/>
    <w:rsid w:val="00262A54"/>
    <w:rsid w:val="00264D26"/>
    <w:rsid w:val="00266AA4"/>
    <w:rsid w:val="00267EC9"/>
    <w:rsid w:val="002714EE"/>
    <w:rsid w:val="00271E32"/>
    <w:rsid w:val="00273B15"/>
    <w:rsid w:val="00273D64"/>
    <w:rsid w:val="002746F9"/>
    <w:rsid w:val="002748A2"/>
    <w:rsid w:val="00275C49"/>
    <w:rsid w:val="0027617C"/>
    <w:rsid w:val="00282BA7"/>
    <w:rsid w:val="00283588"/>
    <w:rsid w:val="00284C87"/>
    <w:rsid w:val="002914A6"/>
    <w:rsid w:val="002914C6"/>
    <w:rsid w:val="002917CC"/>
    <w:rsid w:val="00291A3D"/>
    <w:rsid w:val="002931F4"/>
    <w:rsid w:val="002A419D"/>
    <w:rsid w:val="002B42B7"/>
    <w:rsid w:val="002B5CDE"/>
    <w:rsid w:val="002B75A1"/>
    <w:rsid w:val="002B77F1"/>
    <w:rsid w:val="002B7E22"/>
    <w:rsid w:val="002C2B26"/>
    <w:rsid w:val="002C50B9"/>
    <w:rsid w:val="002C561E"/>
    <w:rsid w:val="002C5B2F"/>
    <w:rsid w:val="002D2446"/>
    <w:rsid w:val="002D4748"/>
    <w:rsid w:val="002D558C"/>
    <w:rsid w:val="002D5B05"/>
    <w:rsid w:val="002D7641"/>
    <w:rsid w:val="002E2A96"/>
    <w:rsid w:val="002E3991"/>
    <w:rsid w:val="002E69B7"/>
    <w:rsid w:val="002E7BC1"/>
    <w:rsid w:val="002F000B"/>
    <w:rsid w:val="002F1C61"/>
    <w:rsid w:val="002F3534"/>
    <w:rsid w:val="002F4181"/>
    <w:rsid w:val="002F5494"/>
    <w:rsid w:val="002F5B83"/>
    <w:rsid w:val="002F6024"/>
    <w:rsid w:val="002F6B15"/>
    <w:rsid w:val="002F6B98"/>
    <w:rsid w:val="002F79B8"/>
    <w:rsid w:val="00301624"/>
    <w:rsid w:val="00303729"/>
    <w:rsid w:val="0030521F"/>
    <w:rsid w:val="00310E89"/>
    <w:rsid w:val="00311464"/>
    <w:rsid w:val="003122A7"/>
    <w:rsid w:val="0031286A"/>
    <w:rsid w:val="0031473C"/>
    <w:rsid w:val="003153D8"/>
    <w:rsid w:val="003207A1"/>
    <w:rsid w:val="00321B65"/>
    <w:rsid w:val="00323C53"/>
    <w:rsid w:val="003277D3"/>
    <w:rsid w:val="003304A6"/>
    <w:rsid w:val="003327C2"/>
    <w:rsid w:val="00332DCD"/>
    <w:rsid w:val="00333673"/>
    <w:rsid w:val="003352F9"/>
    <w:rsid w:val="00335923"/>
    <w:rsid w:val="00337B35"/>
    <w:rsid w:val="00340080"/>
    <w:rsid w:val="0034304B"/>
    <w:rsid w:val="00344159"/>
    <w:rsid w:val="0034599C"/>
    <w:rsid w:val="00347C77"/>
    <w:rsid w:val="003522FC"/>
    <w:rsid w:val="0035241B"/>
    <w:rsid w:val="0035742F"/>
    <w:rsid w:val="00360873"/>
    <w:rsid w:val="00363384"/>
    <w:rsid w:val="003639A7"/>
    <w:rsid w:val="0036438E"/>
    <w:rsid w:val="00364858"/>
    <w:rsid w:val="00364A0E"/>
    <w:rsid w:val="0036539D"/>
    <w:rsid w:val="00365D3C"/>
    <w:rsid w:val="00371508"/>
    <w:rsid w:val="00374FB5"/>
    <w:rsid w:val="003752D5"/>
    <w:rsid w:val="003774FB"/>
    <w:rsid w:val="00382039"/>
    <w:rsid w:val="00382048"/>
    <w:rsid w:val="00382221"/>
    <w:rsid w:val="00384196"/>
    <w:rsid w:val="003843E2"/>
    <w:rsid w:val="0039146C"/>
    <w:rsid w:val="00392A78"/>
    <w:rsid w:val="003940FB"/>
    <w:rsid w:val="00394636"/>
    <w:rsid w:val="003946AB"/>
    <w:rsid w:val="003963E7"/>
    <w:rsid w:val="00396C75"/>
    <w:rsid w:val="003A0BA1"/>
    <w:rsid w:val="003A1D47"/>
    <w:rsid w:val="003A4E11"/>
    <w:rsid w:val="003B03C6"/>
    <w:rsid w:val="003B143B"/>
    <w:rsid w:val="003B1F7E"/>
    <w:rsid w:val="003B2E60"/>
    <w:rsid w:val="003B4C7E"/>
    <w:rsid w:val="003B6609"/>
    <w:rsid w:val="003B6B69"/>
    <w:rsid w:val="003C61E5"/>
    <w:rsid w:val="003C739B"/>
    <w:rsid w:val="003D3CED"/>
    <w:rsid w:val="003D3D50"/>
    <w:rsid w:val="003D4C6A"/>
    <w:rsid w:val="003D6FA8"/>
    <w:rsid w:val="003E0EB8"/>
    <w:rsid w:val="003E20F0"/>
    <w:rsid w:val="003E2464"/>
    <w:rsid w:val="003E2F7B"/>
    <w:rsid w:val="003E3780"/>
    <w:rsid w:val="003E4643"/>
    <w:rsid w:val="003E4657"/>
    <w:rsid w:val="003E582D"/>
    <w:rsid w:val="003F1C4F"/>
    <w:rsid w:val="003F2E74"/>
    <w:rsid w:val="003F3585"/>
    <w:rsid w:val="003F5330"/>
    <w:rsid w:val="003F5434"/>
    <w:rsid w:val="003F617F"/>
    <w:rsid w:val="003F65C7"/>
    <w:rsid w:val="003F7944"/>
    <w:rsid w:val="00401079"/>
    <w:rsid w:val="00413759"/>
    <w:rsid w:val="00413897"/>
    <w:rsid w:val="004142C9"/>
    <w:rsid w:val="00414532"/>
    <w:rsid w:val="00414C71"/>
    <w:rsid w:val="0041530D"/>
    <w:rsid w:val="00422A27"/>
    <w:rsid w:val="00423A92"/>
    <w:rsid w:val="00423D96"/>
    <w:rsid w:val="0042439E"/>
    <w:rsid w:val="0042703A"/>
    <w:rsid w:val="00427861"/>
    <w:rsid w:val="00430AAB"/>
    <w:rsid w:val="004315D4"/>
    <w:rsid w:val="004339A3"/>
    <w:rsid w:val="00436EE0"/>
    <w:rsid w:val="00437C2B"/>
    <w:rsid w:val="00437E38"/>
    <w:rsid w:val="00443BDC"/>
    <w:rsid w:val="004472B1"/>
    <w:rsid w:val="004512B2"/>
    <w:rsid w:val="004514B6"/>
    <w:rsid w:val="00451D59"/>
    <w:rsid w:val="0045614A"/>
    <w:rsid w:val="00456CAE"/>
    <w:rsid w:val="00460E25"/>
    <w:rsid w:val="00462E28"/>
    <w:rsid w:val="00464D7F"/>
    <w:rsid w:val="00467CA8"/>
    <w:rsid w:val="00474A44"/>
    <w:rsid w:val="00474F16"/>
    <w:rsid w:val="004767BF"/>
    <w:rsid w:val="00480EC7"/>
    <w:rsid w:val="00481B52"/>
    <w:rsid w:val="00486CE4"/>
    <w:rsid w:val="0048782B"/>
    <w:rsid w:val="00487AB1"/>
    <w:rsid w:val="0049155E"/>
    <w:rsid w:val="0049395F"/>
    <w:rsid w:val="00494074"/>
    <w:rsid w:val="00494E99"/>
    <w:rsid w:val="004958EB"/>
    <w:rsid w:val="004A3578"/>
    <w:rsid w:val="004B6BFD"/>
    <w:rsid w:val="004C00CC"/>
    <w:rsid w:val="004C0395"/>
    <w:rsid w:val="004C1C1D"/>
    <w:rsid w:val="004C3494"/>
    <w:rsid w:val="004C35A8"/>
    <w:rsid w:val="004C43D0"/>
    <w:rsid w:val="004C619A"/>
    <w:rsid w:val="004C61C0"/>
    <w:rsid w:val="004D6B15"/>
    <w:rsid w:val="004E0E74"/>
    <w:rsid w:val="004E1E34"/>
    <w:rsid w:val="004E2229"/>
    <w:rsid w:val="004E22F8"/>
    <w:rsid w:val="004E70D8"/>
    <w:rsid w:val="004E7AEA"/>
    <w:rsid w:val="004F006B"/>
    <w:rsid w:val="004F0790"/>
    <w:rsid w:val="004F0B82"/>
    <w:rsid w:val="004F270D"/>
    <w:rsid w:val="004F608E"/>
    <w:rsid w:val="004F6273"/>
    <w:rsid w:val="004F7E44"/>
    <w:rsid w:val="0050056F"/>
    <w:rsid w:val="0050232B"/>
    <w:rsid w:val="00503B7C"/>
    <w:rsid w:val="00503F5D"/>
    <w:rsid w:val="005048D9"/>
    <w:rsid w:val="00505AEB"/>
    <w:rsid w:val="005079EC"/>
    <w:rsid w:val="00507E16"/>
    <w:rsid w:val="00511B44"/>
    <w:rsid w:val="00514777"/>
    <w:rsid w:val="00514833"/>
    <w:rsid w:val="00517494"/>
    <w:rsid w:val="00520512"/>
    <w:rsid w:val="005231CE"/>
    <w:rsid w:val="005235B5"/>
    <w:rsid w:val="00525019"/>
    <w:rsid w:val="00526408"/>
    <w:rsid w:val="00535629"/>
    <w:rsid w:val="00535D41"/>
    <w:rsid w:val="00537596"/>
    <w:rsid w:val="0054044B"/>
    <w:rsid w:val="00541B77"/>
    <w:rsid w:val="00551DDC"/>
    <w:rsid w:val="00552BA8"/>
    <w:rsid w:val="00556077"/>
    <w:rsid w:val="0056054F"/>
    <w:rsid w:val="00560BF0"/>
    <w:rsid w:val="00566A8A"/>
    <w:rsid w:val="005707E7"/>
    <w:rsid w:val="00572017"/>
    <w:rsid w:val="00573B69"/>
    <w:rsid w:val="0057521B"/>
    <w:rsid w:val="005768B5"/>
    <w:rsid w:val="00577D5F"/>
    <w:rsid w:val="00580BA9"/>
    <w:rsid w:val="0058103A"/>
    <w:rsid w:val="00582D2D"/>
    <w:rsid w:val="00584951"/>
    <w:rsid w:val="00585927"/>
    <w:rsid w:val="00585DFD"/>
    <w:rsid w:val="005865C1"/>
    <w:rsid w:val="005866DC"/>
    <w:rsid w:val="00591809"/>
    <w:rsid w:val="00591B45"/>
    <w:rsid w:val="005950CE"/>
    <w:rsid w:val="005961E2"/>
    <w:rsid w:val="005A0A18"/>
    <w:rsid w:val="005A1E26"/>
    <w:rsid w:val="005A30DC"/>
    <w:rsid w:val="005A3724"/>
    <w:rsid w:val="005A553A"/>
    <w:rsid w:val="005A56A6"/>
    <w:rsid w:val="005A6E8A"/>
    <w:rsid w:val="005B02EB"/>
    <w:rsid w:val="005B09D5"/>
    <w:rsid w:val="005B17E1"/>
    <w:rsid w:val="005B4C57"/>
    <w:rsid w:val="005B5D5D"/>
    <w:rsid w:val="005B6DB9"/>
    <w:rsid w:val="005B7C38"/>
    <w:rsid w:val="005C097E"/>
    <w:rsid w:val="005C1B39"/>
    <w:rsid w:val="005C3229"/>
    <w:rsid w:val="005C3940"/>
    <w:rsid w:val="005C58D3"/>
    <w:rsid w:val="005D1CD0"/>
    <w:rsid w:val="005D4192"/>
    <w:rsid w:val="005D5E48"/>
    <w:rsid w:val="005E1039"/>
    <w:rsid w:val="005E214A"/>
    <w:rsid w:val="005E3179"/>
    <w:rsid w:val="005E5321"/>
    <w:rsid w:val="005F78CA"/>
    <w:rsid w:val="00601641"/>
    <w:rsid w:val="00602428"/>
    <w:rsid w:val="00603017"/>
    <w:rsid w:val="00603220"/>
    <w:rsid w:val="0060709A"/>
    <w:rsid w:val="00612576"/>
    <w:rsid w:val="00614E3E"/>
    <w:rsid w:val="00615066"/>
    <w:rsid w:val="00616DEF"/>
    <w:rsid w:val="00620CD8"/>
    <w:rsid w:val="00622554"/>
    <w:rsid w:val="00623180"/>
    <w:rsid w:val="00623549"/>
    <w:rsid w:val="006252A0"/>
    <w:rsid w:val="006277FD"/>
    <w:rsid w:val="00627D55"/>
    <w:rsid w:val="0063141C"/>
    <w:rsid w:val="00633A79"/>
    <w:rsid w:val="00633B23"/>
    <w:rsid w:val="00635E62"/>
    <w:rsid w:val="00637B7B"/>
    <w:rsid w:val="00640019"/>
    <w:rsid w:val="0064195A"/>
    <w:rsid w:val="00642FB5"/>
    <w:rsid w:val="00646011"/>
    <w:rsid w:val="006462E2"/>
    <w:rsid w:val="006513FB"/>
    <w:rsid w:val="00653215"/>
    <w:rsid w:val="006535B6"/>
    <w:rsid w:val="006540BB"/>
    <w:rsid w:val="00654336"/>
    <w:rsid w:val="006554BC"/>
    <w:rsid w:val="00655A22"/>
    <w:rsid w:val="006565DC"/>
    <w:rsid w:val="00656F7F"/>
    <w:rsid w:val="0065703B"/>
    <w:rsid w:val="00661FF7"/>
    <w:rsid w:val="00663D79"/>
    <w:rsid w:val="00663E7E"/>
    <w:rsid w:val="0066466B"/>
    <w:rsid w:val="0066594E"/>
    <w:rsid w:val="0066663E"/>
    <w:rsid w:val="006708A5"/>
    <w:rsid w:val="006711CB"/>
    <w:rsid w:val="00672445"/>
    <w:rsid w:val="00672F1D"/>
    <w:rsid w:val="00673589"/>
    <w:rsid w:val="00674589"/>
    <w:rsid w:val="00674BDA"/>
    <w:rsid w:val="00674C31"/>
    <w:rsid w:val="00675AF1"/>
    <w:rsid w:val="00681581"/>
    <w:rsid w:val="00681610"/>
    <w:rsid w:val="006819DA"/>
    <w:rsid w:val="00681E41"/>
    <w:rsid w:val="00682311"/>
    <w:rsid w:val="006831CA"/>
    <w:rsid w:val="006850DF"/>
    <w:rsid w:val="0068564A"/>
    <w:rsid w:val="00686DBA"/>
    <w:rsid w:val="00687BBF"/>
    <w:rsid w:val="00692E03"/>
    <w:rsid w:val="00693D6A"/>
    <w:rsid w:val="00695A04"/>
    <w:rsid w:val="0069761B"/>
    <w:rsid w:val="006A1265"/>
    <w:rsid w:val="006A3100"/>
    <w:rsid w:val="006A3517"/>
    <w:rsid w:val="006A4FBA"/>
    <w:rsid w:val="006A5D47"/>
    <w:rsid w:val="006A71BE"/>
    <w:rsid w:val="006B1106"/>
    <w:rsid w:val="006B1992"/>
    <w:rsid w:val="006B3D1A"/>
    <w:rsid w:val="006C0CE8"/>
    <w:rsid w:val="006C3464"/>
    <w:rsid w:val="006C484D"/>
    <w:rsid w:val="006C4C78"/>
    <w:rsid w:val="006C56CD"/>
    <w:rsid w:val="006C68A1"/>
    <w:rsid w:val="006C756C"/>
    <w:rsid w:val="006C7E46"/>
    <w:rsid w:val="006D34DA"/>
    <w:rsid w:val="006D36F6"/>
    <w:rsid w:val="006D5077"/>
    <w:rsid w:val="006D56C4"/>
    <w:rsid w:val="006D7BA7"/>
    <w:rsid w:val="006E2C5A"/>
    <w:rsid w:val="006E3B40"/>
    <w:rsid w:val="006E5345"/>
    <w:rsid w:val="006E5387"/>
    <w:rsid w:val="006F389C"/>
    <w:rsid w:val="006F6094"/>
    <w:rsid w:val="006F7BAB"/>
    <w:rsid w:val="007015CB"/>
    <w:rsid w:val="00701FFE"/>
    <w:rsid w:val="00702B94"/>
    <w:rsid w:val="0070469E"/>
    <w:rsid w:val="00704D65"/>
    <w:rsid w:val="0070510D"/>
    <w:rsid w:val="0070540A"/>
    <w:rsid w:val="00705D27"/>
    <w:rsid w:val="00707C42"/>
    <w:rsid w:val="00707CA0"/>
    <w:rsid w:val="00711949"/>
    <w:rsid w:val="0071209E"/>
    <w:rsid w:val="007154EA"/>
    <w:rsid w:val="00715CEB"/>
    <w:rsid w:val="00716D3A"/>
    <w:rsid w:val="00716F8E"/>
    <w:rsid w:val="00717BA1"/>
    <w:rsid w:val="007212BF"/>
    <w:rsid w:val="007237E9"/>
    <w:rsid w:val="007279C1"/>
    <w:rsid w:val="0073190E"/>
    <w:rsid w:val="00734063"/>
    <w:rsid w:val="0073427E"/>
    <w:rsid w:val="007349FC"/>
    <w:rsid w:val="007352D9"/>
    <w:rsid w:val="00736020"/>
    <w:rsid w:val="00740623"/>
    <w:rsid w:val="00741AD0"/>
    <w:rsid w:val="00741AEF"/>
    <w:rsid w:val="00742C81"/>
    <w:rsid w:val="007444E2"/>
    <w:rsid w:val="0075624A"/>
    <w:rsid w:val="0075659C"/>
    <w:rsid w:val="00757992"/>
    <w:rsid w:val="00763B1E"/>
    <w:rsid w:val="00763F35"/>
    <w:rsid w:val="00764053"/>
    <w:rsid w:val="00764CB0"/>
    <w:rsid w:val="00775637"/>
    <w:rsid w:val="00780122"/>
    <w:rsid w:val="00781F3A"/>
    <w:rsid w:val="00782849"/>
    <w:rsid w:val="00782C9E"/>
    <w:rsid w:val="00786CBD"/>
    <w:rsid w:val="00790BB4"/>
    <w:rsid w:val="00794B49"/>
    <w:rsid w:val="0079609F"/>
    <w:rsid w:val="007973A0"/>
    <w:rsid w:val="007977B9"/>
    <w:rsid w:val="007A1083"/>
    <w:rsid w:val="007A1383"/>
    <w:rsid w:val="007A202D"/>
    <w:rsid w:val="007A3050"/>
    <w:rsid w:val="007A4ABD"/>
    <w:rsid w:val="007A7637"/>
    <w:rsid w:val="007B0546"/>
    <w:rsid w:val="007B0AF6"/>
    <w:rsid w:val="007B0D87"/>
    <w:rsid w:val="007B370B"/>
    <w:rsid w:val="007B5176"/>
    <w:rsid w:val="007B7679"/>
    <w:rsid w:val="007B7D37"/>
    <w:rsid w:val="007C1BE9"/>
    <w:rsid w:val="007C1F16"/>
    <w:rsid w:val="007C3291"/>
    <w:rsid w:val="007C68B5"/>
    <w:rsid w:val="007C7BA8"/>
    <w:rsid w:val="007D2010"/>
    <w:rsid w:val="007D25A4"/>
    <w:rsid w:val="007D4A24"/>
    <w:rsid w:val="007D4CBD"/>
    <w:rsid w:val="007E4540"/>
    <w:rsid w:val="007E4D75"/>
    <w:rsid w:val="007E5757"/>
    <w:rsid w:val="007E5929"/>
    <w:rsid w:val="007E5C71"/>
    <w:rsid w:val="007F23D0"/>
    <w:rsid w:val="007F4748"/>
    <w:rsid w:val="007F6E3F"/>
    <w:rsid w:val="007F73ED"/>
    <w:rsid w:val="00800137"/>
    <w:rsid w:val="008013B2"/>
    <w:rsid w:val="00801FAD"/>
    <w:rsid w:val="00802B28"/>
    <w:rsid w:val="008046DC"/>
    <w:rsid w:val="00804EF4"/>
    <w:rsid w:val="0080501D"/>
    <w:rsid w:val="00805648"/>
    <w:rsid w:val="008066A4"/>
    <w:rsid w:val="00810533"/>
    <w:rsid w:val="00811EB9"/>
    <w:rsid w:val="00814B96"/>
    <w:rsid w:val="00815ACF"/>
    <w:rsid w:val="00816BB2"/>
    <w:rsid w:val="00817A8D"/>
    <w:rsid w:val="00820104"/>
    <w:rsid w:val="00820D10"/>
    <w:rsid w:val="00820E3A"/>
    <w:rsid w:val="00822BDB"/>
    <w:rsid w:val="008232E6"/>
    <w:rsid w:val="008335EC"/>
    <w:rsid w:val="00836FFC"/>
    <w:rsid w:val="00840550"/>
    <w:rsid w:val="00841377"/>
    <w:rsid w:val="008435EA"/>
    <w:rsid w:val="008451EC"/>
    <w:rsid w:val="008461D4"/>
    <w:rsid w:val="00846BC4"/>
    <w:rsid w:val="008510B7"/>
    <w:rsid w:val="00852101"/>
    <w:rsid w:val="00854052"/>
    <w:rsid w:val="00854BF7"/>
    <w:rsid w:val="00856F23"/>
    <w:rsid w:val="00857CB9"/>
    <w:rsid w:val="00860CCF"/>
    <w:rsid w:val="00861B4F"/>
    <w:rsid w:val="00862970"/>
    <w:rsid w:val="00864996"/>
    <w:rsid w:val="00864E9B"/>
    <w:rsid w:val="00865D08"/>
    <w:rsid w:val="00870317"/>
    <w:rsid w:val="00870EC0"/>
    <w:rsid w:val="00872162"/>
    <w:rsid w:val="00873C4A"/>
    <w:rsid w:val="00876196"/>
    <w:rsid w:val="0088191E"/>
    <w:rsid w:val="00883CC6"/>
    <w:rsid w:val="00885B9A"/>
    <w:rsid w:val="008861BB"/>
    <w:rsid w:val="00886723"/>
    <w:rsid w:val="008867F5"/>
    <w:rsid w:val="0089053E"/>
    <w:rsid w:val="00893456"/>
    <w:rsid w:val="00894A24"/>
    <w:rsid w:val="00895106"/>
    <w:rsid w:val="00895EB4"/>
    <w:rsid w:val="00896876"/>
    <w:rsid w:val="008A1306"/>
    <w:rsid w:val="008A1E4D"/>
    <w:rsid w:val="008A3433"/>
    <w:rsid w:val="008A554B"/>
    <w:rsid w:val="008A6CC6"/>
    <w:rsid w:val="008A7C81"/>
    <w:rsid w:val="008B0A62"/>
    <w:rsid w:val="008B14DF"/>
    <w:rsid w:val="008B1A5F"/>
    <w:rsid w:val="008B3B14"/>
    <w:rsid w:val="008B45AC"/>
    <w:rsid w:val="008B4F90"/>
    <w:rsid w:val="008C061E"/>
    <w:rsid w:val="008C0897"/>
    <w:rsid w:val="008C5295"/>
    <w:rsid w:val="008C5FDF"/>
    <w:rsid w:val="008C661A"/>
    <w:rsid w:val="008C68D5"/>
    <w:rsid w:val="008C75F5"/>
    <w:rsid w:val="008D2A00"/>
    <w:rsid w:val="008D36D7"/>
    <w:rsid w:val="008D73FC"/>
    <w:rsid w:val="008E03C7"/>
    <w:rsid w:val="008E13EF"/>
    <w:rsid w:val="008E272C"/>
    <w:rsid w:val="008E2B8B"/>
    <w:rsid w:val="008E38DD"/>
    <w:rsid w:val="008E3902"/>
    <w:rsid w:val="008E5851"/>
    <w:rsid w:val="008E6105"/>
    <w:rsid w:val="008F0B51"/>
    <w:rsid w:val="008F1AB5"/>
    <w:rsid w:val="008F2C29"/>
    <w:rsid w:val="0090290E"/>
    <w:rsid w:val="00903E1A"/>
    <w:rsid w:val="0090622F"/>
    <w:rsid w:val="0090637E"/>
    <w:rsid w:val="0091196C"/>
    <w:rsid w:val="00911C6F"/>
    <w:rsid w:val="00912362"/>
    <w:rsid w:val="00913D9D"/>
    <w:rsid w:val="00914FE9"/>
    <w:rsid w:val="00920343"/>
    <w:rsid w:val="00920380"/>
    <w:rsid w:val="0092566F"/>
    <w:rsid w:val="009270DC"/>
    <w:rsid w:val="0093312A"/>
    <w:rsid w:val="00935A1A"/>
    <w:rsid w:val="00936D52"/>
    <w:rsid w:val="00936EC2"/>
    <w:rsid w:val="0094086B"/>
    <w:rsid w:val="00940B97"/>
    <w:rsid w:val="00942B7C"/>
    <w:rsid w:val="00943E75"/>
    <w:rsid w:val="009443F6"/>
    <w:rsid w:val="00946762"/>
    <w:rsid w:val="009515F6"/>
    <w:rsid w:val="00954E4F"/>
    <w:rsid w:val="00956221"/>
    <w:rsid w:val="00957D38"/>
    <w:rsid w:val="00963C85"/>
    <w:rsid w:val="00964767"/>
    <w:rsid w:val="00965444"/>
    <w:rsid w:val="00973DBD"/>
    <w:rsid w:val="00974571"/>
    <w:rsid w:val="00974951"/>
    <w:rsid w:val="00974C18"/>
    <w:rsid w:val="00975D38"/>
    <w:rsid w:val="00976F55"/>
    <w:rsid w:val="0098010B"/>
    <w:rsid w:val="009812FE"/>
    <w:rsid w:val="00981D00"/>
    <w:rsid w:val="00987D14"/>
    <w:rsid w:val="00987EBA"/>
    <w:rsid w:val="00992DC6"/>
    <w:rsid w:val="00994BFA"/>
    <w:rsid w:val="00996036"/>
    <w:rsid w:val="009971A6"/>
    <w:rsid w:val="009A05E5"/>
    <w:rsid w:val="009A228E"/>
    <w:rsid w:val="009A3891"/>
    <w:rsid w:val="009B1531"/>
    <w:rsid w:val="009B1875"/>
    <w:rsid w:val="009B2B2E"/>
    <w:rsid w:val="009B4513"/>
    <w:rsid w:val="009B4EEA"/>
    <w:rsid w:val="009B64DC"/>
    <w:rsid w:val="009B796D"/>
    <w:rsid w:val="009C011C"/>
    <w:rsid w:val="009C0252"/>
    <w:rsid w:val="009C0EA1"/>
    <w:rsid w:val="009C102E"/>
    <w:rsid w:val="009C36D0"/>
    <w:rsid w:val="009C381D"/>
    <w:rsid w:val="009C42CC"/>
    <w:rsid w:val="009C448A"/>
    <w:rsid w:val="009C5359"/>
    <w:rsid w:val="009C6CC3"/>
    <w:rsid w:val="009C78A4"/>
    <w:rsid w:val="009C78CA"/>
    <w:rsid w:val="009D0B19"/>
    <w:rsid w:val="009D1683"/>
    <w:rsid w:val="009D1BD3"/>
    <w:rsid w:val="009D53D1"/>
    <w:rsid w:val="009E11CD"/>
    <w:rsid w:val="009E49ED"/>
    <w:rsid w:val="009E5526"/>
    <w:rsid w:val="009E6C3F"/>
    <w:rsid w:val="009F0293"/>
    <w:rsid w:val="009F184A"/>
    <w:rsid w:val="009F18EB"/>
    <w:rsid w:val="009F1E74"/>
    <w:rsid w:val="009F22C2"/>
    <w:rsid w:val="009F5257"/>
    <w:rsid w:val="00A02E88"/>
    <w:rsid w:val="00A05691"/>
    <w:rsid w:val="00A05ABB"/>
    <w:rsid w:val="00A05CF3"/>
    <w:rsid w:val="00A077E3"/>
    <w:rsid w:val="00A10B07"/>
    <w:rsid w:val="00A10E19"/>
    <w:rsid w:val="00A11957"/>
    <w:rsid w:val="00A1541D"/>
    <w:rsid w:val="00A21221"/>
    <w:rsid w:val="00A21466"/>
    <w:rsid w:val="00A2173B"/>
    <w:rsid w:val="00A2323E"/>
    <w:rsid w:val="00A2492D"/>
    <w:rsid w:val="00A24BB9"/>
    <w:rsid w:val="00A25EBC"/>
    <w:rsid w:val="00A263AF"/>
    <w:rsid w:val="00A268C4"/>
    <w:rsid w:val="00A27CF2"/>
    <w:rsid w:val="00A27EDB"/>
    <w:rsid w:val="00A30521"/>
    <w:rsid w:val="00A312C4"/>
    <w:rsid w:val="00A31C83"/>
    <w:rsid w:val="00A36916"/>
    <w:rsid w:val="00A36C15"/>
    <w:rsid w:val="00A37757"/>
    <w:rsid w:val="00A3794C"/>
    <w:rsid w:val="00A4013D"/>
    <w:rsid w:val="00A43046"/>
    <w:rsid w:val="00A433ED"/>
    <w:rsid w:val="00A43592"/>
    <w:rsid w:val="00A460A2"/>
    <w:rsid w:val="00A50904"/>
    <w:rsid w:val="00A56837"/>
    <w:rsid w:val="00A63099"/>
    <w:rsid w:val="00A65DF3"/>
    <w:rsid w:val="00A67E5E"/>
    <w:rsid w:val="00A73F44"/>
    <w:rsid w:val="00A76D1E"/>
    <w:rsid w:val="00A80F49"/>
    <w:rsid w:val="00A83567"/>
    <w:rsid w:val="00A83785"/>
    <w:rsid w:val="00A928F0"/>
    <w:rsid w:val="00A950BE"/>
    <w:rsid w:val="00A9521D"/>
    <w:rsid w:val="00A95DBE"/>
    <w:rsid w:val="00A966EB"/>
    <w:rsid w:val="00A97157"/>
    <w:rsid w:val="00A97333"/>
    <w:rsid w:val="00A97528"/>
    <w:rsid w:val="00AA13F8"/>
    <w:rsid w:val="00AA1809"/>
    <w:rsid w:val="00AA1B65"/>
    <w:rsid w:val="00AA4607"/>
    <w:rsid w:val="00AA55A0"/>
    <w:rsid w:val="00AA7CA9"/>
    <w:rsid w:val="00AB1FF9"/>
    <w:rsid w:val="00AB55FF"/>
    <w:rsid w:val="00AC0F41"/>
    <w:rsid w:val="00AC111F"/>
    <w:rsid w:val="00AC2059"/>
    <w:rsid w:val="00AC32BE"/>
    <w:rsid w:val="00AC4C30"/>
    <w:rsid w:val="00AC4E42"/>
    <w:rsid w:val="00AC5D3B"/>
    <w:rsid w:val="00AC5D7E"/>
    <w:rsid w:val="00AC66B2"/>
    <w:rsid w:val="00AC69D6"/>
    <w:rsid w:val="00AC7A71"/>
    <w:rsid w:val="00AD2566"/>
    <w:rsid w:val="00AE155B"/>
    <w:rsid w:val="00AE3FE6"/>
    <w:rsid w:val="00AE44F9"/>
    <w:rsid w:val="00AE627A"/>
    <w:rsid w:val="00AE6FCD"/>
    <w:rsid w:val="00AF1258"/>
    <w:rsid w:val="00AF3FF1"/>
    <w:rsid w:val="00AF40C6"/>
    <w:rsid w:val="00AF76A7"/>
    <w:rsid w:val="00B00234"/>
    <w:rsid w:val="00B010FB"/>
    <w:rsid w:val="00B01B0D"/>
    <w:rsid w:val="00B0467C"/>
    <w:rsid w:val="00B04C36"/>
    <w:rsid w:val="00B054DF"/>
    <w:rsid w:val="00B075A7"/>
    <w:rsid w:val="00B1343D"/>
    <w:rsid w:val="00B1465F"/>
    <w:rsid w:val="00B148C3"/>
    <w:rsid w:val="00B15DAE"/>
    <w:rsid w:val="00B216F4"/>
    <w:rsid w:val="00B267D2"/>
    <w:rsid w:val="00B304FD"/>
    <w:rsid w:val="00B316EF"/>
    <w:rsid w:val="00B32090"/>
    <w:rsid w:val="00B3426F"/>
    <w:rsid w:val="00B3484D"/>
    <w:rsid w:val="00B348B7"/>
    <w:rsid w:val="00B360ED"/>
    <w:rsid w:val="00B44627"/>
    <w:rsid w:val="00B4525E"/>
    <w:rsid w:val="00B46CFB"/>
    <w:rsid w:val="00B47A1E"/>
    <w:rsid w:val="00B50FFE"/>
    <w:rsid w:val="00B51CC2"/>
    <w:rsid w:val="00B522AE"/>
    <w:rsid w:val="00B539EC"/>
    <w:rsid w:val="00B55C7D"/>
    <w:rsid w:val="00B562CD"/>
    <w:rsid w:val="00B5763C"/>
    <w:rsid w:val="00B61FC1"/>
    <w:rsid w:val="00B62CE0"/>
    <w:rsid w:val="00B62FB8"/>
    <w:rsid w:val="00B63896"/>
    <w:rsid w:val="00B63C20"/>
    <w:rsid w:val="00B6456A"/>
    <w:rsid w:val="00B64F04"/>
    <w:rsid w:val="00B675F0"/>
    <w:rsid w:val="00B72BD8"/>
    <w:rsid w:val="00B73C74"/>
    <w:rsid w:val="00B74391"/>
    <w:rsid w:val="00B74966"/>
    <w:rsid w:val="00B7596F"/>
    <w:rsid w:val="00B75B96"/>
    <w:rsid w:val="00B812AB"/>
    <w:rsid w:val="00B85B17"/>
    <w:rsid w:val="00B85BFE"/>
    <w:rsid w:val="00B86565"/>
    <w:rsid w:val="00B8754D"/>
    <w:rsid w:val="00B90ABB"/>
    <w:rsid w:val="00B92EFE"/>
    <w:rsid w:val="00B93FCF"/>
    <w:rsid w:val="00B94ADD"/>
    <w:rsid w:val="00B94B51"/>
    <w:rsid w:val="00B952EB"/>
    <w:rsid w:val="00B976B8"/>
    <w:rsid w:val="00BA07DF"/>
    <w:rsid w:val="00BA0D06"/>
    <w:rsid w:val="00BA1511"/>
    <w:rsid w:val="00BA2540"/>
    <w:rsid w:val="00BA3425"/>
    <w:rsid w:val="00BA723D"/>
    <w:rsid w:val="00BB0583"/>
    <w:rsid w:val="00BB0896"/>
    <w:rsid w:val="00BB55A0"/>
    <w:rsid w:val="00BB572E"/>
    <w:rsid w:val="00BB613D"/>
    <w:rsid w:val="00BB64C4"/>
    <w:rsid w:val="00BC0B76"/>
    <w:rsid w:val="00BC2550"/>
    <w:rsid w:val="00BC2D94"/>
    <w:rsid w:val="00BC2F75"/>
    <w:rsid w:val="00BC3A4C"/>
    <w:rsid w:val="00BC7189"/>
    <w:rsid w:val="00BD11F4"/>
    <w:rsid w:val="00BD22BB"/>
    <w:rsid w:val="00BD2436"/>
    <w:rsid w:val="00BD33EA"/>
    <w:rsid w:val="00BD4EBD"/>
    <w:rsid w:val="00BE28F9"/>
    <w:rsid w:val="00BE2D51"/>
    <w:rsid w:val="00BE2DA6"/>
    <w:rsid w:val="00BE34A2"/>
    <w:rsid w:val="00BE683A"/>
    <w:rsid w:val="00BE7976"/>
    <w:rsid w:val="00BF0025"/>
    <w:rsid w:val="00BF2225"/>
    <w:rsid w:val="00BF6EBE"/>
    <w:rsid w:val="00C012C9"/>
    <w:rsid w:val="00C026FC"/>
    <w:rsid w:val="00C03BF3"/>
    <w:rsid w:val="00C04870"/>
    <w:rsid w:val="00C04921"/>
    <w:rsid w:val="00C0755A"/>
    <w:rsid w:val="00C128C2"/>
    <w:rsid w:val="00C12F17"/>
    <w:rsid w:val="00C15B57"/>
    <w:rsid w:val="00C15B81"/>
    <w:rsid w:val="00C21D2F"/>
    <w:rsid w:val="00C242CA"/>
    <w:rsid w:val="00C31C0A"/>
    <w:rsid w:val="00C328D5"/>
    <w:rsid w:val="00C32EBF"/>
    <w:rsid w:val="00C344A5"/>
    <w:rsid w:val="00C352A9"/>
    <w:rsid w:val="00C35C13"/>
    <w:rsid w:val="00C36CF4"/>
    <w:rsid w:val="00C37655"/>
    <w:rsid w:val="00C408AC"/>
    <w:rsid w:val="00C417F6"/>
    <w:rsid w:val="00C608CA"/>
    <w:rsid w:val="00C61BA1"/>
    <w:rsid w:val="00C625DB"/>
    <w:rsid w:val="00C66150"/>
    <w:rsid w:val="00C66B43"/>
    <w:rsid w:val="00C67696"/>
    <w:rsid w:val="00C70F01"/>
    <w:rsid w:val="00C711AA"/>
    <w:rsid w:val="00C73637"/>
    <w:rsid w:val="00C7473D"/>
    <w:rsid w:val="00C76919"/>
    <w:rsid w:val="00C82AA0"/>
    <w:rsid w:val="00C86393"/>
    <w:rsid w:val="00C87771"/>
    <w:rsid w:val="00C9046F"/>
    <w:rsid w:val="00C90B6E"/>
    <w:rsid w:val="00C90FF4"/>
    <w:rsid w:val="00C9142F"/>
    <w:rsid w:val="00C91FE1"/>
    <w:rsid w:val="00C939F9"/>
    <w:rsid w:val="00C96033"/>
    <w:rsid w:val="00C9726D"/>
    <w:rsid w:val="00CA34C1"/>
    <w:rsid w:val="00CA3ABA"/>
    <w:rsid w:val="00CA6CD6"/>
    <w:rsid w:val="00CB37B7"/>
    <w:rsid w:val="00CB4DCE"/>
    <w:rsid w:val="00CB5FF7"/>
    <w:rsid w:val="00CC0622"/>
    <w:rsid w:val="00CC30C9"/>
    <w:rsid w:val="00CC6012"/>
    <w:rsid w:val="00CC65AA"/>
    <w:rsid w:val="00CC69BF"/>
    <w:rsid w:val="00CC727A"/>
    <w:rsid w:val="00CD12FE"/>
    <w:rsid w:val="00CD1A0A"/>
    <w:rsid w:val="00CD1BE0"/>
    <w:rsid w:val="00CD6547"/>
    <w:rsid w:val="00CE0F7C"/>
    <w:rsid w:val="00CE19D5"/>
    <w:rsid w:val="00CE1E99"/>
    <w:rsid w:val="00CE23D7"/>
    <w:rsid w:val="00CE45EB"/>
    <w:rsid w:val="00CE7DA2"/>
    <w:rsid w:val="00CF0F6C"/>
    <w:rsid w:val="00CF2E57"/>
    <w:rsid w:val="00CF6013"/>
    <w:rsid w:val="00CF6A9F"/>
    <w:rsid w:val="00CF7F03"/>
    <w:rsid w:val="00D0214F"/>
    <w:rsid w:val="00D100AB"/>
    <w:rsid w:val="00D1050D"/>
    <w:rsid w:val="00D11E6C"/>
    <w:rsid w:val="00D124D6"/>
    <w:rsid w:val="00D12654"/>
    <w:rsid w:val="00D153C2"/>
    <w:rsid w:val="00D15A68"/>
    <w:rsid w:val="00D252C2"/>
    <w:rsid w:val="00D25FD6"/>
    <w:rsid w:val="00D306BD"/>
    <w:rsid w:val="00D314F3"/>
    <w:rsid w:val="00D31C57"/>
    <w:rsid w:val="00D31DE4"/>
    <w:rsid w:val="00D341E3"/>
    <w:rsid w:val="00D343EE"/>
    <w:rsid w:val="00D36A05"/>
    <w:rsid w:val="00D407EE"/>
    <w:rsid w:val="00D41D73"/>
    <w:rsid w:val="00D44432"/>
    <w:rsid w:val="00D454D1"/>
    <w:rsid w:val="00D4775F"/>
    <w:rsid w:val="00D47DC1"/>
    <w:rsid w:val="00D52F94"/>
    <w:rsid w:val="00D547E6"/>
    <w:rsid w:val="00D557B8"/>
    <w:rsid w:val="00D56539"/>
    <w:rsid w:val="00D61BAD"/>
    <w:rsid w:val="00D61F57"/>
    <w:rsid w:val="00D65417"/>
    <w:rsid w:val="00D66BD0"/>
    <w:rsid w:val="00D672FC"/>
    <w:rsid w:val="00D677D9"/>
    <w:rsid w:val="00D73BC9"/>
    <w:rsid w:val="00D7624F"/>
    <w:rsid w:val="00D8073C"/>
    <w:rsid w:val="00D81634"/>
    <w:rsid w:val="00D81ACA"/>
    <w:rsid w:val="00D83766"/>
    <w:rsid w:val="00D858EC"/>
    <w:rsid w:val="00D9224A"/>
    <w:rsid w:val="00D93772"/>
    <w:rsid w:val="00D971CE"/>
    <w:rsid w:val="00DA4B0A"/>
    <w:rsid w:val="00DA50F1"/>
    <w:rsid w:val="00DA6637"/>
    <w:rsid w:val="00DA7DE6"/>
    <w:rsid w:val="00DB13DC"/>
    <w:rsid w:val="00DB399F"/>
    <w:rsid w:val="00DC0D80"/>
    <w:rsid w:val="00DC2189"/>
    <w:rsid w:val="00DC5ED9"/>
    <w:rsid w:val="00DC6DD9"/>
    <w:rsid w:val="00DC7790"/>
    <w:rsid w:val="00DC7D02"/>
    <w:rsid w:val="00DD0DB7"/>
    <w:rsid w:val="00DD0DD0"/>
    <w:rsid w:val="00DD204E"/>
    <w:rsid w:val="00DD3FE1"/>
    <w:rsid w:val="00DD5EB3"/>
    <w:rsid w:val="00DD6024"/>
    <w:rsid w:val="00DD7047"/>
    <w:rsid w:val="00DD78D9"/>
    <w:rsid w:val="00DD7F0C"/>
    <w:rsid w:val="00DE087C"/>
    <w:rsid w:val="00DE285E"/>
    <w:rsid w:val="00DE2FE4"/>
    <w:rsid w:val="00DE3177"/>
    <w:rsid w:val="00DE36ED"/>
    <w:rsid w:val="00DE3E2D"/>
    <w:rsid w:val="00DE4C46"/>
    <w:rsid w:val="00DE62FB"/>
    <w:rsid w:val="00DF3831"/>
    <w:rsid w:val="00DF4535"/>
    <w:rsid w:val="00DF5D20"/>
    <w:rsid w:val="00E0084C"/>
    <w:rsid w:val="00E01ACD"/>
    <w:rsid w:val="00E022C7"/>
    <w:rsid w:val="00E04321"/>
    <w:rsid w:val="00E0515B"/>
    <w:rsid w:val="00E06BB5"/>
    <w:rsid w:val="00E07591"/>
    <w:rsid w:val="00E07687"/>
    <w:rsid w:val="00E114F0"/>
    <w:rsid w:val="00E119B2"/>
    <w:rsid w:val="00E12A39"/>
    <w:rsid w:val="00E13572"/>
    <w:rsid w:val="00E16378"/>
    <w:rsid w:val="00E1639F"/>
    <w:rsid w:val="00E21047"/>
    <w:rsid w:val="00E21794"/>
    <w:rsid w:val="00E25E61"/>
    <w:rsid w:val="00E31232"/>
    <w:rsid w:val="00E37717"/>
    <w:rsid w:val="00E4040D"/>
    <w:rsid w:val="00E40CEC"/>
    <w:rsid w:val="00E41BFE"/>
    <w:rsid w:val="00E424EB"/>
    <w:rsid w:val="00E4670B"/>
    <w:rsid w:val="00E47345"/>
    <w:rsid w:val="00E53979"/>
    <w:rsid w:val="00E543AF"/>
    <w:rsid w:val="00E54613"/>
    <w:rsid w:val="00E55B35"/>
    <w:rsid w:val="00E61148"/>
    <w:rsid w:val="00E61950"/>
    <w:rsid w:val="00E629D7"/>
    <w:rsid w:val="00E632F7"/>
    <w:rsid w:val="00E658BD"/>
    <w:rsid w:val="00E71EA6"/>
    <w:rsid w:val="00E728F5"/>
    <w:rsid w:val="00E73B12"/>
    <w:rsid w:val="00E75F15"/>
    <w:rsid w:val="00E75F65"/>
    <w:rsid w:val="00E761EA"/>
    <w:rsid w:val="00E77540"/>
    <w:rsid w:val="00E8169B"/>
    <w:rsid w:val="00E81CAE"/>
    <w:rsid w:val="00E83D55"/>
    <w:rsid w:val="00E870B9"/>
    <w:rsid w:val="00E923B5"/>
    <w:rsid w:val="00E946EB"/>
    <w:rsid w:val="00E9530B"/>
    <w:rsid w:val="00E96C5D"/>
    <w:rsid w:val="00EA1497"/>
    <w:rsid w:val="00EA50B0"/>
    <w:rsid w:val="00EB0015"/>
    <w:rsid w:val="00EB0074"/>
    <w:rsid w:val="00EB0330"/>
    <w:rsid w:val="00EB0F6C"/>
    <w:rsid w:val="00EB2D1D"/>
    <w:rsid w:val="00EB4329"/>
    <w:rsid w:val="00EB4466"/>
    <w:rsid w:val="00EB504B"/>
    <w:rsid w:val="00EB5242"/>
    <w:rsid w:val="00EB61F0"/>
    <w:rsid w:val="00EC1976"/>
    <w:rsid w:val="00EC4005"/>
    <w:rsid w:val="00ED10F2"/>
    <w:rsid w:val="00ED3059"/>
    <w:rsid w:val="00ED3374"/>
    <w:rsid w:val="00ED39C2"/>
    <w:rsid w:val="00ED722F"/>
    <w:rsid w:val="00ED773B"/>
    <w:rsid w:val="00EE0201"/>
    <w:rsid w:val="00EE06AB"/>
    <w:rsid w:val="00EE0750"/>
    <w:rsid w:val="00EE193C"/>
    <w:rsid w:val="00EE59D2"/>
    <w:rsid w:val="00EE5B49"/>
    <w:rsid w:val="00EE715F"/>
    <w:rsid w:val="00EF1F3B"/>
    <w:rsid w:val="00EF262E"/>
    <w:rsid w:val="00EF278F"/>
    <w:rsid w:val="00EF3BD0"/>
    <w:rsid w:val="00EF5341"/>
    <w:rsid w:val="00EF53EE"/>
    <w:rsid w:val="00EF6A83"/>
    <w:rsid w:val="00EF7B2C"/>
    <w:rsid w:val="00EF7F57"/>
    <w:rsid w:val="00F0078E"/>
    <w:rsid w:val="00F03AD4"/>
    <w:rsid w:val="00F03C76"/>
    <w:rsid w:val="00F0447D"/>
    <w:rsid w:val="00F04F89"/>
    <w:rsid w:val="00F052D4"/>
    <w:rsid w:val="00F0620E"/>
    <w:rsid w:val="00F111FD"/>
    <w:rsid w:val="00F11A08"/>
    <w:rsid w:val="00F1343B"/>
    <w:rsid w:val="00F14203"/>
    <w:rsid w:val="00F1566D"/>
    <w:rsid w:val="00F16645"/>
    <w:rsid w:val="00F177BD"/>
    <w:rsid w:val="00F206DF"/>
    <w:rsid w:val="00F23576"/>
    <w:rsid w:val="00F34165"/>
    <w:rsid w:val="00F371DB"/>
    <w:rsid w:val="00F40323"/>
    <w:rsid w:val="00F42867"/>
    <w:rsid w:val="00F45829"/>
    <w:rsid w:val="00F46B8F"/>
    <w:rsid w:val="00F46FA3"/>
    <w:rsid w:val="00F50526"/>
    <w:rsid w:val="00F508AE"/>
    <w:rsid w:val="00F50C63"/>
    <w:rsid w:val="00F51D5E"/>
    <w:rsid w:val="00F52370"/>
    <w:rsid w:val="00F524D4"/>
    <w:rsid w:val="00F5307C"/>
    <w:rsid w:val="00F5378A"/>
    <w:rsid w:val="00F578BC"/>
    <w:rsid w:val="00F60532"/>
    <w:rsid w:val="00F606CB"/>
    <w:rsid w:val="00F606FA"/>
    <w:rsid w:val="00F60E8D"/>
    <w:rsid w:val="00F627BD"/>
    <w:rsid w:val="00F63E77"/>
    <w:rsid w:val="00F66C76"/>
    <w:rsid w:val="00F70C56"/>
    <w:rsid w:val="00F71F7C"/>
    <w:rsid w:val="00F72DE9"/>
    <w:rsid w:val="00F75D24"/>
    <w:rsid w:val="00F7659D"/>
    <w:rsid w:val="00F76A0D"/>
    <w:rsid w:val="00F77F50"/>
    <w:rsid w:val="00F81184"/>
    <w:rsid w:val="00F82F41"/>
    <w:rsid w:val="00F839EB"/>
    <w:rsid w:val="00F847E5"/>
    <w:rsid w:val="00F85A72"/>
    <w:rsid w:val="00F87C11"/>
    <w:rsid w:val="00F9031A"/>
    <w:rsid w:val="00F92DAD"/>
    <w:rsid w:val="00F97EC2"/>
    <w:rsid w:val="00FA212C"/>
    <w:rsid w:val="00FA3BE0"/>
    <w:rsid w:val="00FA3D26"/>
    <w:rsid w:val="00FA49BD"/>
    <w:rsid w:val="00FA6835"/>
    <w:rsid w:val="00FB0F7F"/>
    <w:rsid w:val="00FB37A1"/>
    <w:rsid w:val="00FB58B8"/>
    <w:rsid w:val="00FB67F6"/>
    <w:rsid w:val="00FC0198"/>
    <w:rsid w:val="00FC01F1"/>
    <w:rsid w:val="00FC19DB"/>
    <w:rsid w:val="00FC1E90"/>
    <w:rsid w:val="00FC31F3"/>
    <w:rsid w:val="00FC7BF4"/>
    <w:rsid w:val="00FD203D"/>
    <w:rsid w:val="00FD2698"/>
    <w:rsid w:val="00FD2952"/>
    <w:rsid w:val="00FD33C3"/>
    <w:rsid w:val="00FE111E"/>
    <w:rsid w:val="00FE1710"/>
    <w:rsid w:val="00FE386A"/>
    <w:rsid w:val="00FE4B56"/>
    <w:rsid w:val="00FE50DE"/>
    <w:rsid w:val="00FE575C"/>
    <w:rsid w:val="00FE7735"/>
    <w:rsid w:val="00FF0BB7"/>
    <w:rsid w:val="00FF0C9C"/>
    <w:rsid w:val="00FF3924"/>
    <w:rsid w:val="00FF3E2F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0F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5C2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95C2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0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4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94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89345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893456"/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ED72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722F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952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21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B61FC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061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06127"/>
  </w:style>
  <w:style w:type="character" w:customStyle="1" w:styleId="ac">
    <w:name w:val="Текст примечания Знак"/>
    <w:basedOn w:val="a0"/>
    <w:link w:val="ab"/>
    <w:uiPriority w:val="99"/>
    <w:rsid w:val="00106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61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6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2DAD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69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table" w:customStyle="1" w:styleId="TableGrid2">
    <w:name w:val="Table Grid2"/>
    <w:basedOn w:val="a1"/>
    <w:next w:val="a4"/>
    <w:uiPriority w:val="39"/>
    <w:rsid w:val="00E816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F6A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6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343B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F1343B"/>
    <w:pPr>
      <w:jc w:val="both"/>
    </w:pPr>
    <w:rPr>
      <w:rFonts w:eastAsia="Arial Unicode MS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1343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0F70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F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F70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70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0F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5C2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95C2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C0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4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94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89345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893456"/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ED72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722F"/>
    <w:pPr>
      <w:widowControl w:val="0"/>
      <w:autoSpaceDE w:val="0"/>
      <w:autoSpaceDN w:val="0"/>
      <w:ind w:left="110"/>
    </w:pPr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952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21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1"/>
    <w:qFormat/>
    <w:rsid w:val="00B61FC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061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06127"/>
  </w:style>
  <w:style w:type="character" w:customStyle="1" w:styleId="ac">
    <w:name w:val="Текст примечания Знак"/>
    <w:basedOn w:val="a0"/>
    <w:link w:val="ab"/>
    <w:uiPriority w:val="99"/>
    <w:rsid w:val="00106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61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6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2DAD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169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table" w:customStyle="1" w:styleId="TableGrid2">
    <w:name w:val="Table Grid2"/>
    <w:basedOn w:val="a1"/>
    <w:next w:val="a4"/>
    <w:uiPriority w:val="39"/>
    <w:rsid w:val="00E816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F6A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6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343B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F1343B"/>
    <w:pPr>
      <w:jc w:val="both"/>
    </w:pPr>
    <w:rPr>
      <w:rFonts w:eastAsia="Arial Unicode MS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1343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0F70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F7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F701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70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00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dda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D4A1-A96E-4C25-9C9F-164DCC61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22</Pages>
  <Words>9170</Words>
  <Characters>52275</Characters>
  <Application>Microsoft Office Word</Application>
  <DocSecurity>0</DocSecurity>
  <Lines>435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Vassilyeva, Tatyana</dc:creator>
  <cp:keywords/>
  <dc:description/>
  <cp:lastModifiedBy>Коранова Толганай Сабыровна</cp:lastModifiedBy>
  <cp:revision>6</cp:revision>
  <dcterms:created xsi:type="dcterms:W3CDTF">2022-09-26T03:01:00Z</dcterms:created>
  <dcterms:modified xsi:type="dcterms:W3CDTF">2023-02-17T12:14:00Z</dcterms:modified>
</cp:coreProperties>
</file>