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4A0" w:firstRow="1" w:lastRow="0" w:firstColumn="1" w:lastColumn="0" w:noHBand="0" w:noVBand="1"/>
      </w:tblPr>
      <w:tblGrid>
        <w:gridCol w:w="4786"/>
        <w:gridCol w:w="4536"/>
      </w:tblGrid>
      <w:tr w:rsidR="005B5320" w:rsidRPr="005F36B9" w:rsidTr="00947BC2">
        <w:trPr>
          <w:trHeight w:val="2552"/>
        </w:trPr>
        <w:tc>
          <w:tcPr>
            <w:tcW w:w="4786" w:type="dxa"/>
            <w:hideMark/>
          </w:tcPr>
          <w:p w:rsidR="005B5320" w:rsidRPr="003A4EC7" w:rsidRDefault="005B5320" w:rsidP="005B5320">
            <w:pPr>
              <w:pStyle w:val="a7"/>
              <w:rPr>
                <w:rFonts w:ascii="Times New Roman" w:hAnsi="Times New Roman"/>
                <w:snapToGrid w:val="0"/>
                <w:spacing w:val="-4"/>
                <w:sz w:val="24"/>
                <w:szCs w:val="24"/>
              </w:rPr>
            </w:pPr>
          </w:p>
          <w:p w:rsidR="005B5320" w:rsidRPr="003A4EC7" w:rsidRDefault="005B5320" w:rsidP="005B5320">
            <w:pPr>
              <w:pStyle w:val="a7"/>
              <w:rPr>
                <w:rFonts w:ascii="Times New Roman" w:hAnsi="Times New Roman"/>
                <w:snapToGrid w:val="0"/>
                <w:spacing w:val="-4"/>
                <w:sz w:val="24"/>
                <w:szCs w:val="24"/>
              </w:rPr>
            </w:pPr>
          </w:p>
          <w:p w:rsidR="005B5320" w:rsidRPr="003A4EC7" w:rsidRDefault="005B5320" w:rsidP="005B5320">
            <w:pPr>
              <w:pStyle w:val="a7"/>
              <w:rPr>
                <w:rFonts w:ascii="Times New Roman" w:hAnsi="Times New Roman"/>
                <w:snapToGrid w:val="0"/>
                <w:spacing w:val="-4"/>
                <w:sz w:val="24"/>
                <w:szCs w:val="24"/>
              </w:rPr>
            </w:pPr>
          </w:p>
          <w:p w:rsidR="005B5320" w:rsidRPr="003A4EC7" w:rsidRDefault="005B5320" w:rsidP="005B5320">
            <w:pPr>
              <w:pStyle w:val="a7"/>
              <w:jc w:val="center"/>
              <w:rPr>
                <w:rFonts w:ascii="Times New Roman" w:hAnsi="Times New Roman"/>
                <w:snapToGrid w:val="0"/>
                <w:spacing w:val="-4"/>
                <w:sz w:val="24"/>
                <w:szCs w:val="24"/>
              </w:rPr>
            </w:pPr>
          </w:p>
        </w:tc>
        <w:tc>
          <w:tcPr>
            <w:tcW w:w="4536" w:type="dxa"/>
            <w:hideMark/>
          </w:tcPr>
          <w:p w:rsidR="005B5320" w:rsidRPr="005F36B9" w:rsidRDefault="005B5320" w:rsidP="005B5320">
            <w:pPr>
              <w:pStyle w:val="a7"/>
              <w:rPr>
                <w:rFonts w:ascii="Times New Roman" w:hAnsi="Times New Roman"/>
                <w:bCs/>
                <w:iCs/>
                <w:spacing w:val="-4"/>
                <w:sz w:val="24"/>
                <w:szCs w:val="24"/>
                <w:lang w:val="kk-KZ"/>
              </w:rPr>
            </w:pPr>
            <w:r w:rsidRPr="005F36B9">
              <w:rPr>
                <w:rFonts w:ascii="Times New Roman" w:hAnsi="Times New Roman"/>
                <w:bCs/>
                <w:iCs/>
                <w:spacing w:val="-4"/>
                <w:sz w:val="24"/>
                <w:szCs w:val="24"/>
                <w:lang w:val="kk-KZ"/>
              </w:rPr>
              <w:t>«Қазақстан Республикасы</w:t>
            </w:r>
          </w:p>
          <w:p w:rsidR="005B5320" w:rsidRPr="005F36B9" w:rsidRDefault="005B5320" w:rsidP="005B5320">
            <w:pPr>
              <w:pStyle w:val="a7"/>
              <w:rPr>
                <w:rFonts w:ascii="Times New Roman" w:hAnsi="Times New Roman"/>
                <w:bCs/>
                <w:iCs/>
                <w:spacing w:val="-4"/>
                <w:sz w:val="24"/>
                <w:szCs w:val="24"/>
                <w:lang w:val="kk-KZ"/>
              </w:rPr>
            </w:pPr>
            <w:r w:rsidRPr="005F36B9">
              <w:rPr>
                <w:rFonts w:ascii="Times New Roman" w:hAnsi="Times New Roman"/>
                <w:bCs/>
                <w:iCs/>
                <w:spacing w:val="-4"/>
                <w:sz w:val="24"/>
                <w:szCs w:val="24"/>
                <w:lang w:val="kk-KZ"/>
              </w:rPr>
              <w:t>Денсаулық сақтау министрлігі</w:t>
            </w:r>
          </w:p>
          <w:p w:rsidR="005B5320" w:rsidRPr="005F36B9" w:rsidRDefault="005B5320" w:rsidP="005B5320">
            <w:pPr>
              <w:pStyle w:val="a7"/>
              <w:rPr>
                <w:rFonts w:ascii="Times New Roman" w:hAnsi="Times New Roman"/>
                <w:bCs/>
                <w:iCs/>
                <w:spacing w:val="-4"/>
                <w:sz w:val="24"/>
                <w:szCs w:val="24"/>
                <w:lang w:val="kk-KZ"/>
              </w:rPr>
            </w:pPr>
            <w:r w:rsidRPr="005F36B9">
              <w:rPr>
                <w:rFonts w:ascii="Times New Roman" w:hAnsi="Times New Roman"/>
                <w:bCs/>
                <w:iCs/>
                <w:spacing w:val="-4"/>
                <w:sz w:val="24"/>
                <w:szCs w:val="24"/>
                <w:lang w:val="kk-KZ"/>
              </w:rPr>
              <w:t xml:space="preserve">Медициналық және </w:t>
            </w:r>
          </w:p>
          <w:p w:rsidR="005B5320" w:rsidRPr="005F36B9" w:rsidRDefault="005B5320" w:rsidP="005B5320">
            <w:pPr>
              <w:pStyle w:val="a7"/>
              <w:rPr>
                <w:rFonts w:ascii="Times New Roman" w:hAnsi="Times New Roman"/>
                <w:bCs/>
                <w:iCs/>
                <w:spacing w:val="-4"/>
                <w:sz w:val="24"/>
                <w:szCs w:val="24"/>
                <w:lang w:val="kk-KZ"/>
              </w:rPr>
            </w:pPr>
            <w:r w:rsidRPr="005F36B9">
              <w:rPr>
                <w:rFonts w:ascii="Times New Roman" w:hAnsi="Times New Roman"/>
                <w:bCs/>
                <w:iCs/>
                <w:spacing w:val="-4"/>
                <w:sz w:val="24"/>
                <w:szCs w:val="24"/>
                <w:lang w:val="kk-KZ"/>
              </w:rPr>
              <w:t xml:space="preserve">фармацевтикалық бақылау </w:t>
            </w:r>
          </w:p>
          <w:p w:rsidR="005B5320" w:rsidRPr="005F36B9" w:rsidRDefault="005B5320" w:rsidP="005B5320">
            <w:pPr>
              <w:pStyle w:val="a7"/>
              <w:rPr>
                <w:rFonts w:ascii="Times New Roman" w:hAnsi="Times New Roman"/>
                <w:bCs/>
                <w:iCs/>
                <w:spacing w:val="-4"/>
                <w:sz w:val="24"/>
                <w:szCs w:val="24"/>
                <w:lang w:val="kk-KZ"/>
              </w:rPr>
            </w:pPr>
            <w:r w:rsidRPr="005F36B9">
              <w:rPr>
                <w:rFonts w:ascii="Times New Roman" w:hAnsi="Times New Roman"/>
                <w:bCs/>
                <w:iCs/>
                <w:spacing w:val="-4"/>
                <w:sz w:val="24"/>
                <w:szCs w:val="24"/>
                <w:lang w:val="kk-KZ"/>
              </w:rPr>
              <w:t>комитеті» РММ төрағасының</w:t>
            </w:r>
          </w:p>
          <w:p w:rsidR="005611E6" w:rsidRPr="005F36B9" w:rsidRDefault="005B5320" w:rsidP="005B5320">
            <w:pPr>
              <w:pStyle w:val="a7"/>
              <w:rPr>
                <w:rFonts w:ascii="Times New Roman" w:hAnsi="Times New Roman"/>
                <w:bCs/>
                <w:iCs/>
                <w:spacing w:val="-4"/>
                <w:sz w:val="24"/>
                <w:szCs w:val="24"/>
                <w:lang w:val="kk-KZ"/>
              </w:rPr>
            </w:pPr>
            <w:r w:rsidRPr="005F36B9">
              <w:rPr>
                <w:rFonts w:ascii="Times New Roman" w:hAnsi="Times New Roman"/>
                <w:bCs/>
                <w:iCs/>
                <w:spacing w:val="-4"/>
                <w:sz w:val="24"/>
                <w:szCs w:val="24"/>
                <w:lang w:val="kk-KZ"/>
              </w:rPr>
              <w:t>20</w:t>
            </w:r>
            <w:r w:rsidR="00C033C1" w:rsidRPr="005F36B9">
              <w:rPr>
                <w:rFonts w:ascii="Times New Roman" w:hAnsi="Times New Roman"/>
                <w:bCs/>
                <w:iCs/>
                <w:spacing w:val="-4"/>
                <w:sz w:val="24"/>
                <w:szCs w:val="24"/>
                <w:lang w:val="kk-KZ"/>
              </w:rPr>
              <w:t>__</w:t>
            </w:r>
            <w:r w:rsidRPr="005F36B9">
              <w:rPr>
                <w:rFonts w:ascii="Times New Roman" w:hAnsi="Times New Roman"/>
                <w:bCs/>
                <w:iCs/>
                <w:spacing w:val="-4"/>
                <w:sz w:val="24"/>
                <w:szCs w:val="24"/>
                <w:lang w:val="kk-KZ"/>
              </w:rPr>
              <w:t xml:space="preserve">ж. </w:t>
            </w:r>
            <w:r w:rsidR="00C033C1" w:rsidRPr="005F36B9">
              <w:rPr>
                <w:rFonts w:ascii="Times New Roman" w:hAnsi="Times New Roman"/>
                <w:bCs/>
                <w:iCs/>
                <w:spacing w:val="-4"/>
                <w:sz w:val="24"/>
                <w:szCs w:val="24"/>
                <w:lang w:val="kk-KZ"/>
              </w:rPr>
              <w:t>«__» __________</w:t>
            </w:r>
          </w:p>
          <w:p w:rsidR="005B5320" w:rsidRPr="005F36B9" w:rsidRDefault="005B5320" w:rsidP="005B5320">
            <w:pPr>
              <w:pStyle w:val="a7"/>
              <w:rPr>
                <w:rFonts w:ascii="Times New Roman" w:hAnsi="Times New Roman"/>
                <w:bCs/>
                <w:iCs/>
                <w:spacing w:val="-4"/>
                <w:sz w:val="24"/>
                <w:szCs w:val="24"/>
                <w:lang w:val="kk-KZ"/>
              </w:rPr>
            </w:pPr>
            <w:r w:rsidRPr="005F36B9">
              <w:rPr>
                <w:rFonts w:ascii="Times New Roman" w:hAnsi="Times New Roman"/>
                <w:bCs/>
                <w:iCs/>
                <w:spacing w:val="-4"/>
                <w:sz w:val="24"/>
                <w:szCs w:val="24"/>
                <w:lang w:val="kk-KZ"/>
              </w:rPr>
              <w:t xml:space="preserve">№ </w:t>
            </w:r>
            <w:r w:rsidR="00C033C1" w:rsidRPr="005F36B9">
              <w:rPr>
                <w:rFonts w:ascii="Times New Roman" w:hAnsi="Times New Roman"/>
                <w:bCs/>
                <w:iCs/>
                <w:spacing w:val="-4"/>
                <w:sz w:val="24"/>
                <w:szCs w:val="24"/>
                <w:lang w:val="kk-KZ"/>
              </w:rPr>
              <w:t>________</w:t>
            </w:r>
            <w:r w:rsidRPr="005F36B9">
              <w:rPr>
                <w:rFonts w:ascii="Times New Roman" w:hAnsi="Times New Roman"/>
                <w:bCs/>
                <w:iCs/>
                <w:spacing w:val="-4"/>
                <w:sz w:val="24"/>
                <w:szCs w:val="24"/>
                <w:lang w:val="kk-KZ"/>
              </w:rPr>
              <w:t>бұйрығымен</w:t>
            </w:r>
          </w:p>
          <w:p w:rsidR="005B5320" w:rsidRPr="005F36B9" w:rsidRDefault="005B5320" w:rsidP="005B5320">
            <w:pPr>
              <w:pStyle w:val="a7"/>
              <w:rPr>
                <w:rFonts w:ascii="Times New Roman" w:hAnsi="Times New Roman"/>
                <w:snapToGrid w:val="0"/>
                <w:spacing w:val="-4"/>
                <w:sz w:val="24"/>
                <w:szCs w:val="24"/>
                <w:lang w:val="kk-KZ"/>
              </w:rPr>
            </w:pPr>
            <w:r w:rsidRPr="005F36B9">
              <w:rPr>
                <w:rFonts w:ascii="Times New Roman" w:hAnsi="Times New Roman"/>
                <w:b/>
                <w:bCs/>
                <w:iCs/>
                <w:spacing w:val="-4"/>
                <w:sz w:val="24"/>
                <w:szCs w:val="24"/>
                <w:lang w:val="kk-KZ"/>
              </w:rPr>
              <w:t>БЕКІТІЛГЕН</w:t>
            </w:r>
          </w:p>
        </w:tc>
      </w:tr>
    </w:tbl>
    <w:p w:rsidR="005B5320" w:rsidRPr="005F36B9" w:rsidRDefault="005B5320" w:rsidP="005B5320">
      <w:pPr>
        <w:pStyle w:val="a7"/>
        <w:jc w:val="center"/>
        <w:rPr>
          <w:rFonts w:ascii="Times New Roman" w:hAnsi="Times New Roman"/>
          <w:b/>
          <w:spacing w:val="-4"/>
          <w:sz w:val="24"/>
          <w:szCs w:val="24"/>
          <w:lang w:val="en-US"/>
        </w:rPr>
      </w:pPr>
      <w:r w:rsidRPr="005F36B9">
        <w:rPr>
          <w:rFonts w:ascii="Times New Roman" w:hAnsi="Times New Roman"/>
          <w:b/>
          <w:spacing w:val="-4"/>
          <w:sz w:val="24"/>
          <w:szCs w:val="24"/>
        </w:rPr>
        <w:t>ДӘРІЛІКПРЕПАРАТТЫҢЖАЛПЫСИПАТТАМАСЫ</w:t>
      </w:r>
    </w:p>
    <w:p w:rsidR="005B5320" w:rsidRPr="005F36B9" w:rsidRDefault="005B5320" w:rsidP="005A4CED">
      <w:pPr>
        <w:jc w:val="both"/>
        <w:rPr>
          <w:b/>
          <w:caps/>
          <w:spacing w:val="-4"/>
          <w:lang w:val="kk-KZ"/>
        </w:rPr>
      </w:pPr>
    </w:p>
    <w:p w:rsidR="005B5320" w:rsidRPr="005F36B9" w:rsidRDefault="005B5320" w:rsidP="005B5320">
      <w:pPr>
        <w:jc w:val="both"/>
        <w:rPr>
          <w:b/>
          <w:spacing w:val="-4"/>
          <w:lang w:val="kk-KZ" w:eastAsia="ru-RU"/>
        </w:rPr>
      </w:pPr>
      <w:r w:rsidRPr="005F36B9">
        <w:rPr>
          <w:b/>
          <w:spacing w:val="-4"/>
          <w:lang w:val="kk-KZ" w:eastAsia="ru-RU"/>
        </w:rPr>
        <w:t>1. ДӘРІЛІК ПРЕПАРАТТЫҢ АТАУЫ</w:t>
      </w:r>
    </w:p>
    <w:p w:rsidR="005B5320" w:rsidRPr="005F36B9" w:rsidRDefault="0050122F" w:rsidP="005B5320">
      <w:pPr>
        <w:jc w:val="both"/>
        <w:rPr>
          <w:spacing w:val="-4"/>
          <w:lang w:val="kk-KZ"/>
        </w:rPr>
      </w:pPr>
      <w:r w:rsidRPr="005F36B9">
        <w:rPr>
          <w:bCs/>
          <w:caps/>
          <w:lang w:val="kk-KZ"/>
        </w:rPr>
        <w:t>[САУДАЛЫҚ АТАУЫ]</w:t>
      </w:r>
      <w:r w:rsidR="005B5320" w:rsidRPr="005F36B9">
        <w:rPr>
          <w:spacing w:val="-4"/>
          <w:lang w:val="kk-KZ"/>
        </w:rPr>
        <w:t>, 600 мг/5 мл, инъекцияға арналған ерітінді</w:t>
      </w:r>
    </w:p>
    <w:p w:rsidR="005B5320" w:rsidRPr="005F36B9" w:rsidRDefault="005B5320" w:rsidP="005A4CED">
      <w:pPr>
        <w:jc w:val="both"/>
        <w:rPr>
          <w:b/>
          <w:caps/>
          <w:spacing w:val="-4"/>
          <w:lang w:val="kk-KZ"/>
        </w:rPr>
      </w:pPr>
    </w:p>
    <w:p w:rsidR="00707D8A" w:rsidRPr="005F36B9" w:rsidRDefault="000118FC" w:rsidP="005A4CED">
      <w:pPr>
        <w:jc w:val="both"/>
        <w:rPr>
          <w:b/>
          <w:caps/>
          <w:spacing w:val="-4"/>
          <w:lang w:val="kk-KZ"/>
        </w:rPr>
      </w:pPr>
      <w:r w:rsidRPr="005F36B9">
        <w:rPr>
          <w:b/>
          <w:caps/>
          <w:spacing w:val="-4"/>
          <w:lang w:val="kk-KZ"/>
        </w:rPr>
        <w:t>2. Сапалық және сандық құрамы</w:t>
      </w:r>
    </w:p>
    <w:p w:rsidR="006A4696" w:rsidRPr="005F36B9" w:rsidRDefault="000118FC" w:rsidP="006A4696">
      <w:pPr>
        <w:adjustRightInd/>
        <w:jc w:val="both"/>
        <w:rPr>
          <w:spacing w:val="-4"/>
          <w:lang w:val="kk-KZ"/>
        </w:rPr>
      </w:pPr>
      <w:r w:rsidRPr="005F36B9">
        <w:rPr>
          <w:spacing w:val="-4"/>
          <w:lang w:val="kk-KZ"/>
        </w:rPr>
        <w:t xml:space="preserve">2.1 Жалпы сипаттамасы </w:t>
      </w:r>
    </w:p>
    <w:p w:rsidR="002C07AD" w:rsidRPr="005F36B9" w:rsidRDefault="000118FC" w:rsidP="006A4696">
      <w:pPr>
        <w:adjustRightInd/>
        <w:jc w:val="both"/>
        <w:rPr>
          <w:spacing w:val="-4"/>
          <w:lang w:val="kk-KZ"/>
        </w:rPr>
      </w:pPr>
      <w:r w:rsidRPr="005F36B9">
        <w:rPr>
          <w:spacing w:val="-4"/>
          <w:lang w:val="kk-KZ"/>
        </w:rPr>
        <w:t>Трастузумаб - вирустардың белсенділігін жою мен жоюдың спецификалық әдістерін қоса алғанда, аффинді және ион алмасу хроматография әдісіме</w:t>
      </w:r>
      <w:r w:rsidR="008515E7" w:rsidRPr="005F36B9">
        <w:rPr>
          <w:spacing w:val="-4"/>
          <w:lang w:val="kk-KZ"/>
        </w:rPr>
        <w:t>н тазартылған, сүтқоректілердің</w:t>
      </w:r>
      <w:r w:rsidRPr="005F36B9">
        <w:rPr>
          <w:spacing w:val="-4"/>
          <w:lang w:val="kk-KZ"/>
        </w:rPr>
        <w:t xml:space="preserve"> (</w:t>
      </w:r>
      <w:r w:rsidR="00DD56B3" w:rsidRPr="005F36B9">
        <w:rPr>
          <w:spacing w:val="-4"/>
          <w:lang w:val="kk-KZ"/>
        </w:rPr>
        <w:t>қ</w:t>
      </w:r>
      <w:r w:rsidRPr="005F36B9">
        <w:rPr>
          <w:spacing w:val="-4"/>
          <w:lang w:val="kk-KZ"/>
        </w:rPr>
        <w:t>ытай атжалманының аналық бездері) жасушалық суспензия өсіріндісінің көмегімен алынған гуманизацияланған моноклональді IgGl антидене болып табылады.</w:t>
      </w:r>
    </w:p>
    <w:p w:rsidR="006A4696" w:rsidRPr="005F36B9" w:rsidRDefault="000118FC" w:rsidP="006A4696">
      <w:pPr>
        <w:adjustRightInd/>
        <w:jc w:val="both"/>
        <w:rPr>
          <w:spacing w:val="-4"/>
          <w:lang w:val="kk-KZ"/>
        </w:rPr>
      </w:pPr>
      <w:r w:rsidRPr="005F36B9">
        <w:rPr>
          <w:spacing w:val="-4"/>
          <w:lang w:val="kk-KZ"/>
        </w:rPr>
        <w:t>2.2 Сапалық және сандық құрамы</w:t>
      </w:r>
    </w:p>
    <w:p w:rsidR="006A4696" w:rsidRPr="005F36B9" w:rsidRDefault="000118FC" w:rsidP="006A4696">
      <w:pPr>
        <w:adjustRightInd/>
        <w:jc w:val="both"/>
        <w:rPr>
          <w:spacing w:val="-4"/>
          <w:lang w:val="kk-KZ"/>
        </w:rPr>
      </w:pPr>
      <w:r w:rsidRPr="005F36B9">
        <w:rPr>
          <w:spacing w:val="-4"/>
          <w:lang w:val="kk-KZ"/>
        </w:rPr>
        <w:t xml:space="preserve">Бір құтының ішінде </w:t>
      </w:r>
    </w:p>
    <w:p w:rsidR="006A4696" w:rsidRPr="005F36B9" w:rsidRDefault="000118FC" w:rsidP="006A4696">
      <w:pPr>
        <w:adjustRightInd/>
        <w:jc w:val="both"/>
        <w:rPr>
          <w:spacing w:val="-4"/>
          <w:lang w:val="kk-KZ"/>
        </w:rPr>
      </w:pPr>
      <w:r w:rsidRPr="005F36B9">
        <w:rPr>
          <w:i/>
          <w:spacing w:val="-4"/>
          <w:lang w:val="kk-KZ"/>
        </w:rPr>
        <w:t>белсенді зат</w:t>
      </w:r>
      <w:r w:rsidRPr="005F36B9">
        <w:rPr>
          <w:spacing w:val="-4"/>
          <w:lang w:val="kk-KZ"/>
        </w:rPr>
        <w:t xml:space="preserve"> – трастузумаб, 600 мг.</w:t>
      </w:r>
    </w:p>
    <w:p w:rsidR="006A4696" w:rsidRPr="005F36B9" w:rsidRDefault="000118FC" w:rsidP="006A4696">
      <w:pPr>
        <w:adjustRightInd/>
        <w:jc w:val="both"/>
        <w:rPr>
          <w:spacing w:val="-4"/>
          <w:lang w:val="kk-KZ"/>
        </w:rPr>
      </w:pPr>
      <w:r w:rsidRPr="005F36B9">
        <w:rPr>
          <w:spacing w:val="-4"/>
          <w:lang w:val="kk-KZ"/>
        </w:rPr>
        <w:t>Қосымша заттардың толық тізімін 6.1бөлімнен қараңыз.</w:t>
      </w:r>
    </w:p>
    <w:p w:rsidR="004478E1" w:rsidRPr="005F36B9" w:rsidRDefault="004478E1" w:rsidP="005A4CED">
      <w:pPr>
        <w:jc w:val="both"/>
        <w:rPr>
          <w:b/>
          <w:caps/>
          <w:spacing w:val="-4"/>
          <w:lang w:val="kk-KZ" w:eastAsia="ru-RU"/>
        </w:rPr>
      </w:pPr>
    </w:p>
    <w:p w:rsidR="00707D8A" w:rsidRPr="005F36B9" w:rsidRDefault="000118FC" w:rsidP="005A4CED">
      <w:pPr>
        <w:jc w:val="both"/>
        <w:rPr>
          <w:b/>
          <w:spacing w:val="-4"/>
          <w:lang w:val="kk-KZ"/>
        </w:rPr>
      </w:pPr>
      <w:r w:rsidRPr="005F36B9">
        <w:rPr>
          <w:b/>
          <w:spacing w:val="-4"/>
          <w:lang w:val="kk-KZ"/>
        </w:rPr>
        <w:t>3. ДӘРІЛІК ТҮРІ</w:t>
      </w:r>
    </w:p>
    <w:p w:rsidR="009C2058" w:rsidRPr="005F36B9" w:rsidRDefault="000118FC" w:rsidP="00441077">
      <w:pPr>
        <w:adjustRightInd/>
        <w:jc w:val="both"/>
        <w:rPr>
          <w:spacing w:val="-4"/>
          <w:lang w:val="kk-KZ"/>
        </w:rPr>
      </w:pPr>
      <w:bookmarkStart w:id="0" w:name="_Hlk63949579"/>
      <w:r w:rsidRPr="005F36B9">
        <w:rPr>
          <w:spacing w:val="-4"/>
          <w:lang w:val="kk-KZ"/>
        </w:rPr>
        <w:t xml:space="preserve">Инъекцияға арналған ерітінді. </w:t>
      </w:r>
    </w:p>
    <w:p w:rsidR="004478E1" w:rsidRPr="005F36B9" w:rsidRDefault="003C16F3" w:rsidP="00441077">
      <w:pPr>
        <w:adjustRightInd/>
        <w:jc w:val="both"/>
        <w:rPr>
          <w:spacing w:val="-4"/>
          <w:lang w:val="kk-KZ"/>
        </w:rPr>
      </w:pPr>
      <w:r w:rsidRPr="005F36B9">
        <w:rPr>
          <w:bCs/>
          <w:caps/>
          <w:lang w:val="kk-KZ"/>
        </w:rPr>
        <w:t>[</w:t>
      </w:r>
      <w:r w:rsidRPr="005F36B9">
        <w:rPr>
          <w:color w:val="000000"/>
          <w:lang w:val="kk-KZ"/>
        </w:rPr>
        <w:t>ҚР НҚ СӘЙКЕС</w:t>
      </w:r>
      <w:r w:rsidRPr="005F36B9">
        <w:rPr>
          <w:bCs/>
          <w:caps/>
          <w:lang w:val="kk-KZ"/>
        </w:rPr>
        <w:t xml:space="preserve"> </w:t>
      </w:r>
      <w:r w:rsidRPr="005F36B9">
        <w:rPr>
          <w:bCs/>
          <w:caps/>
          <w:lang w:val="kk-KZ"/>
        </w:rPr>
        <w:t>сипаттамасы]</w:t>
      </w:r>
    </w:p>
    <w:bookmarkEnd w:id="0"/>
    <w:p w:rsidR="00441077" w:rsidRPr="005F36B9" w:rsidRDefault="00441077" w:rsidP="005A4CED">
      <w:pPr>
        <w:jc w:val="both"/>
        <w:rPr>
          <w:b/>
          <w:caps/>
          <w:spacing w:val="-4"/>
          <w:lang w:val="kk-KZ" w:eastAsia="ru-RU"/>
        </w:rPr>
      </w:pPr>
    </w:p>
    <w:p w:rsidR="00707D8A" w:rsidRPr="005F36B9" w:rsidRDefault="000118FC" w:rsidP="005A4CED">
      <w:pPr>
        <w:jc w:val="both"/>
        <w:rPr>
          <w:b/>
          <w:caps/>
          <w:spacing w:val="-4"/>
          <w:lang w:val="ru-RU" w:eastAsia="ru-RU"/>
        </w:rPr>
      </w:pPr>
      <w:r w:rsidRPr="005F36B9">
        <w:rPr>
          <w:b/>
          <w:caps/>
          <w:spacing w:val="-4"/>
          <w:lang w:val="kk-KZ" w:eastAsia="ru-RU"/>
        </w:rPr>
        <w:t>4. Клиникалық деректер</w:t>
      </w:r>
    </w:p>
    <w:p w:rsidR="00707D8A" w:rsidRPr="005F36B9" w:rsidRDefault="000118FC" w:rsidP="005A4CED">
      <w:pPr>
        <w:jc w:val="both"/>
        <w:rPr>
          <w:b/>
          <w:spacing w:val="-4"/>
          <w:lang w:val="ru-RU"/>
        </w:rPr>
      </w:pPr>
      <w:r w:rsidRPr="005F36B9">
        <w:rPr>
          <w:b/>
          <w:spacing w:val="-4"/>
          <w:lang w:val="kk-KZ"/>
        </w:rPr>
        <w:t>4.1 Қолданылуы</w:t>
      </w:r>
    </w:p>
    <w:p w:rsidR="00D31D6F" w:rsidRPr="005F36B9" w:rsidRDefault="00D31D6F" w:rsidP="00D31D6F">
      <w:pPr>
        <w:pStyle w:val="a7"/>
        <w:jc w:val="both"/>
        <w:rPr>
          <w:rFonts w:ascii="Times New Roman" w:hAnsi="Times New Roman"/>
          <w:spacing w:val="-4"/>
          <w:sz w:val="24"/>
          <w:szCs w:val="24"/>
          <w:u w:val="single"/>
          <w:lang w:val="kk-KZ"/>
        </w:rPr>
      </w:pPr>
      <w:bookmarkStart w:id="1" w:name="OLE_LINK13"/>
      <w:r w:rsidRPr="005F36B9">
        <w:rPr>
          <w:rFonts w:ascii="Times New Roman" w:hAnsi="Times New Roman"/>
          <w:spacing w:val="-4"/>
          <w:sz w:val="24"/>
          <w:szCs w:val="24"/>
          <w:u w:val="single"/>
          <w:lang w:val="kk-KZ"/>
        </w:rPr>
        <w:t>Сүт безінің обыры</w:t>
      </w:r>
    </w:p>
    <w:p w:rsidR="00D31D6F" w:rsidRPr="005F36B9" w:rsidRDefault="00D31D6F" w:rsidP="00D31D6F">
      <w:pPr>
        <w:pStyle w:val="a7"/>
        <w:jc w:val="both"/>
        <w:rPr>
          <w:rFonts w:ascii="Times New Roman" w:hAnsi="Times New Roman"/>
          <w:i/>
          <w:spacing w:val="-4"/>
          <w:sz w:val="24"/>
          <w:szCs w:val="24"/>
          <w:u w:val="single"/>
          <w:lang w:val="kk-KZ"/>
        </w:rPr>
      </w:pPr>
      <w:r w:rsidRPr="005F36B9">
        <w:rPr>
          <w:rFonts w:ascii="Times New Roman" w:hAnsi="Times New Roman"/>
          <w:i/>
          <w:spacing w:val="-4"/>
          <w:sz w:val="24"/>
          <w:szCs w:val="24"/>
          <w:u w:val="single"/>
          <w:lang w:val="kk-KZ"/>
        </w:rPr>
        <w:t>Сүт безінің метастаздық обыры</w:t>
      </w:r>
    </w:p>
    <w:p w:rsidR="00D31D6F" w:rsidRPr="005F36B9" w:rsidRDefault="00D31D6F" w:rsidP="00D31D6F">
      <w:pPr>
        <w:pStyle w:val="a7"/>
        <w:jc w:val="both"/>
        <w:rPr>
          <w:rFonts w:ascii="Times New Roman" w:hAnsi="Times New Roman"/>
          <w:spacing w:val="-4"/>
          <w:sz w:val="24"/>
          <w:szCs w:val="24"/>
          <w:lang w:val="kk-KZ"/>
        </w:rPr>
      </w:pPr>
      <w:r w:rsidRPr="005F36B9">
        <w:rPr>
          <w:rFonts w:ascii="Times New Roman" w:hAnsi="Times New Roman"/>
          <w:spacing w:val="-4"/>
          <w:sz w:val="24"/>
          <w:szCs w:val="24"/>
          <w:lang w:val="kk-KZ"/>
        </w:rPr>
        <w:t xml:space="preserve">[САУДАЛЫҚ АТАУЫ] </w:t>
      </w:r>
      <w:r w:rsidR="00221B98" w:rsidRPr="005F36B9">
        <w:rPr>
          <w:rFonts w:ascii="Times New Roman" w:hAnsi="Times New Roman"/>
          <w:spacing w:val="-4"/>
          <w:sz w:val="24"/>
          <w:szCs w:val="24"/>
          <w:lang w:val="kk-KZ"/>
        </w:rPr>
        <w:t xml:space="preserve"> препараты </w:t>
      </w:r>
      <w:r w:rsidRPr="005F36B9">
        <w:rPr>
          <w:rFonts w:ascii="Times New Roman" w:hAnsi="Times New Roman"/>
          <w:spacing w:val="-4"/>
          <w:sz w:val="24"/>
          <w:szCs w:val="24"/>
          <w:lang w:val="kk-KZ"/>
        </w:rPr>
        <w:t>HER2-оң сүт безінің метастаздық обырына (СБмО) шалдыққан ересек пациенттерді емдеу үшін көрсетілген:</w:t>
      </w:r>
    </w:p>
    <w:p w:rsidR="00D31D6F" w:rsidRPr="005F36B9" w:rsidRDefault="00D31D6F" w:rsidP="00D31D6F">
      <w:pPr>
        <w:pStyle w:val="a7"/>
        <w:numPr>
          <w:ilvl w:val="0"/>
          <w:numId w:val="9"/>
        </w:numPr>
        <w:jc w:val="both"/>
        <w:rPr>
          <w:rFonts w:ascii="Times New Roman" w:hAnsi="Times New Roman"/>
          <w:color w:val="FF0000"/>
          <w:spacing w:val="-4"/>
          <w:sz w:val="24"/>
          <w:szCs w:val="24"/>
          <w:lang w:val="kk-KZ"/>
        </w:rPr>
      </w:pPr>
      <w:r w:rsidRPr="005F36B9">
        <w:rPr>
          <w:rFonts w:ascii="Times New Roman" w:hAnsi="Times New Roman"/>
          <w:spacing w:val="-4"/>
          <w:sz w:val="24"/>
          <w:szCs w:val="24"/>
          <w:lang w:val="kk-KZ"/>
        </w:rPr>
        <w:t xml:space="preserve">метастаздық ауруға қатысты химиотерапияның кем дегенде екі курсын алған пациенттерді емдеу үшін монотерапия ретінде.  Алдындағы химиотерапия пациенттерге осы емді жүргізу мүмкін болмайтын жағдайды қоспағанда, кем дегенде антрациклинді және таксанды қамтуы тиіс. Пациенттерге осы емді жүргізу мүмкін болмайтын жағдайды қоспағанда, тиімсіз гормональді емнен кейін гормон-рецепторлық статусы оң пациенттер </w:t>
      </w:r>
    </w:p>
    <w:p w:rsidR="00D31D6F" w:rsidRPr="005F36B9" w:rsidRDefault="00D31D6F" w:rsidP="00D31D6F">
      <w:pPr>
        <w:pStyle w:val="a7"/>
        <w:numPr>
          <w:ilvl w:val="0"/>
          <w:numId w:val="9"/>
        </w:numPr>
        <w:jc w:val="both"/>
        <w:rPr>
          <w:rFonts w:ascii="Times New Roman" w:hAnsi="Times New Roman"/>
          <w:spacing w:val="-4"/>
          <w:sz w:val="24"/>
          <w:szCs w:val="24"/>
          <w:lang w:val="kk-KZ"/>
        </w:rPr>
      </w:pPr>
      <w:r w:rsidRPr="005F36B9">
        <w:rPr>
          <w:rFonts w:ascii="Times New Roman" w:hAnsi="Times New Roman"/>
          <w:spacing w:val="-4"/>
          <w:sz w:val="24"/>
          <w:szCs w:val="24"/>
          <w:lang w:val="kk-KZ"/>
        </w:rPr>
        <w:t>метастаздық ауруға байланысты химиотерапия алмаған және антрациклиндермен емдеуге жарамсыз пациенттерді емдеу үшін паклитакселмен біріктірілімде</w:t>
      </w:r>
    </w:p>
    <w:p w:rsidR="00D31D6F" w:rsidRPr="005F36B9" w:rsidRDefault="00D31D6F" w:rsidP="00D31D6F">
      <w:pPr>
        <w:pStyle w:val="a7"/>
        <w:numPr>
          <w:ilvl w:val="0"/>
          <w:numId w:val="9"/>
        </w:numPr>
        <w:jc w:val="both"/>
        <w:rPr>
          <w:rFonts w:ascii="Times New Roman" w:hAnsi="Times New Roman"/>
          <w:spacing w:val="-4"/>
          <w:sz w:val="24"/>
          <w:szCs w:val="24"/>
          <w:lang w:val="kk-KZ"/>
        </w:rPr>
      </w:pPr>
      <w:r w:rsidRPr="005F36B9">
        <w:rPr>
          <w:rFonts w:ascii="Times New Roman" w:hAnsi="Times New Roman"/>
          <w:spacing w:val="-4"/>
          <w:sz w:val="24"/>
          <w:szCs w:val="24"/>
          <w:lang w:val="kk-KZ"/>
        </w:rPr>
        <w:t>метастаздық ауруға байланысты химиотерапия алмаған пациенттерді емдеу үшін доцетакселмен біріктірілімде</w:t>
      </w:r>
    </w:p>
    <w:p w:rsidR="00D31D6F" w:rsidRPr="005F36B9" w:rsidRDefault="00D31D6F" w:rsidP="00D31D6F">
      <w:pPr>
        <w:pStyle w:val="a7"/>
        <w:numPr>
          <w:ilvl w:val="0"/>
          <w:numId w:val="9"/>
        </w:numPr>
        <w:jc w:val="both"/>
        <w:rPr>
          <w:rFonts w:ascii="Times New Roman" w:hAnsi="Times New Roman"/>
          <w:spacing w:val="-4"/>
          <w:sz w:val="24"/>
          <w:szCs w:val="24"/>
          <w:lang w:val="kk-KZ"/>
        </w:rPr>
      </w:pPr>
      <w:r w:rsidRPr="005F36B9">
        <w:rPr>
          <w:rFonts w:ascii="Times New Roman" w:hAnsi="Times New Roman"/>
          <w:spacing w:val="-4"/>
          <w:sz w:val="24"/>
          <w:szCs w:val="24"/>
          <w:lang w:val="kk-KZ"/>
        </w:rPr>
        <w:t>бұрын трастузумабпен ем алмаған СБмО гормон-рецепторлық статусы оң, постменопаузадан кейінгі пациенттерді емдеу үшін ароматаза тежегіштерімен біріктірілімде.</w:t>
      </w:r>
    </w:p>
    <w:p w:rsidR="00D31D6F" w:rsidRPr="005F36B9" w:rsidRDefault="00D31D6F" w:rsidP="00D31D6F">
      <w:pPr>
        <w:pStyle w:val="a7"/>
        <w:jc w:val="both"/>
        <w:rPr>
          <w:rFonts w:ascii="Times New Roman" w:hAnsi="Times New Roman"/>
          <w:spacing w:val="-4"/>
          <w:sz w:val="24"/>
          <w:szCs w:val="24"/>
          <w:u w:val="single"/>
          <w:lang w:val="kk-KZ"/>
        </w:rPr>
      </w:pPr>
      <w:r w:rsidRPr="005F36B9">
        <w:rPr>
          <w:rFonts w:ascii="Times New Roman" w:hAnsi="Times New Roman"/>
          <w:i/>
          <w:spacing w:val="-4"/>
          <w:sz w:val="24"/>
          <w:szCs w:val="24"/>
          <w:u w:val="single"/>
          <w:lang w:val="kk-KZ"/>
        </w:rPr>
        <w:t>Сүт безінің ерте обыры</w:t>
      </w:r>
    </w:p>
    <w:p w:rsidR="00D31D6F" w:rsidRPr="005F36B9" w:rsidRDefault="00D31D6F" w:rsidP="00D31D6F">
      <w:pPr>
        <w:pStyle w:val="a7"/>
        <w:jc w:val="both"/>
        <w:rPr>
          <w:rFonts w:ascii="Times New Roman" w:hAnsi="Times New Roman"/>
          <w:spacing w:val="-4"/>
          <w:sz w:val="24"/>
          <w:szCs w:val="24"/>
          <w:lang w:val="kk-KZ"/>
        </w:rPr>
      </w:pPr>
      <w:r w:rsidRPr="005F36B9">
        <w:rPr>
          <w:rFonts w:ascii="Times New Roman" w:hAnsi="Times New Roman"/>
          <w:spacing w:val="-4"/>
          <w:sz w:val="24"/>
          <w:szCs w:val="24"/>
          <w:lang w:val="kk-KZ"/>
        </w:rPr>
        <w:t xml:space="preserve">[САУДАЛЫҚ АТАУЫ] </w:t>
      </w:r>
      <w:r w:rsidR="00A61EFD" w:rsidRPr="005F36B9">
        <w:rPr>
          <w:rFonts w:ascii="Times New Roman" w:hAnsi="Times New Roman"/>
          <w:spacing w:val="-4"/>
          <w:sz w:val="24"/>
          <w:szCs w:val="24"/>
          <w:lang w:val="kk-KZ"/>
        </w:rPr>
        <w:t xml:space="preserve"> препараты </w:t>
      </w:r>
      <w:r w:rsidRPr="005F36B9">
        <w:rPr>
          <w:rFonts w:ascii="Times New Roman" w:hAnsi="Times New Roman"/>
          <w:spacing w:val="-4"/>
          <w:sz w:val="24"/>
          <w:szCs w:val="24"/>
          <w:lang w:val="kk-KZ"/>
        </w:rPr>
        <w:t>HER2-оң сүт безінің ерте обырына (СБеО) шалдыққан ересек пациенттерді емдеу үшін көрсетілген:</w:t>
      </w:r>
    </w:p>
    <w:p w:rsidR="00D31D6F" w:rsidRPr="005F36B9" w:rsidRDefault="00D31D6F" w:rsidP="00D31D6F">
      <w:pPr>
        <w:pStyle w:val="a7"/>
        <w:numPr>
          <w:ilvl w:val="0"/>
          <w:numId w:val="10"/>
        </w:numPr>
        <w:jc w:val="both"/>
        <w:rPr>
          <w:rFonts w:ascii="Times New Roman" w:hAnsi="Times New Roman"/>
          <w:spacing w:val="-4"/>
          <w:sz w:val="24"/>
          <w:szCs w:val="24"/>
          <w:lang w:val="kk-KZ"/>
        </w:rPr>
      </w:pPr>
      <w:r w:rsidRPr="005F36B9">
        <w:rPr>
          <w:rFonts w:ascii="Times New Roman" w:hAnsi="Times New Roman"/>
          <w:spacing w:val="-4"/>
          <w:sz w:val="24"/>
          <w:szCs w:val="24"/>
          <w:lang w:val="kk-KZ"/>
        </w:rPr>
        <w:lastRenderedPageBreak/>
        <w:t>хирургиялық араласымнан, химиотерапиядан (неоадъювантты немесе адъювантты) және сәулелік емдеуден кейін (егер қатысты болса)</w:t>
      </w:r>
      <w:r w:rsidR="00CB4802" w:rsidRPr="005F36B9">
        <w:rPr>
          <w:rFonts w:ascii="Times New Roman" w:hAnsi="Times New Roman"/>
          <w:spacing w:val="-4"/>
          <w:sz w:val="24"/>
          <w:szCs w:val="24"/>
          <w:lang w:val="kk-KZ"/>
        </w:rPr>
        <w:t xml:space="preserve"> </w:t>
      </w:r>
      <w:r w:rsidR="00CB4802" w:rsidRPr="005F36B9">
        <w:rPr>
          <w:rFonts w:ascii="Times New Roman" w:hAnsi="Times New Roman"/>
          <w:spacing w:val="-4"/>
          <w:sz w:val="24"/>
          <w:szCs w:val="24"/>
          <w:lang w:val="kk-KZ"/>
        </w:rPr>
        <w:t>(5.1 бөлім</w:t>
      </w:r>
      <w:r w:rsidR="00190C53" w:rsidRPr="005F36B9">
        <w:rPr>
          <w:rFonts w:ascii="Times New Roman" w:hAnsi="Times New Roman"/>
          <w:spacing w:val="-4"/>
          <w:sz w:val="24"/>
          <w:szCs w:val="24"/>
          <w:lang w:val="kk-KZ"/>
        </w:rPr>
        <w:t xml:space="preserve">ді </w:t>
      </w:r>
      <w:r w:rsidR="00CB4802" w:rsidRPr="005F36B9">
        <w:rPr>
          <w:rFonts w:ascii="Times New Roman" w:hAnsi="Times New Roman"/>
          <w:spacing w:val="-4"/>
          <w:sz w:val="24"/>
          <w:szCs w:val="24"/>
          <w:lang w:val="kk-KZ"/>
        </w:rPr>
        <w:t>қараңыз).</w:t>
      </w:r>
    </w:p>
    <w:p w:rsidR="00D31D6F" w:rsidRPr="005F36B9" w:rsidRDefault="00D31D6F" w:rsidP="00D31D6F">
      <w:pPr>
        <w:pStyle w:val="a7"/>
        <w:numPr>
          <w:ilvl w:val="0"/>
          <w:numId w:val="10"/>
        </w:numPr>
        <w:jc w:val="both"/>
        <w:rPr>
          <w:rFonts w:ascii="Times New Roman" w:hAnsi="Times New Roman"/>
          <w:spacing w:val="-4"/>
          <w:sz w:val="24"/>
          <w:szCs w:val="24"/>
          <w:lang w:val="kk-KZ"/>
        </w:rPr>
      </w:pPr>
      <w:r w:rsidRPr="005F36B9">
        <w:rPr>
          <w:rFonts w:ascii="Times New Roman" w:hAnsi="Times New Roman"/>
          <w:spacing w:val="-4"/>
          <w:sz w:val="24"/>
          <w:szCs w:val="24"/>
          <w:lang w:val="kk-KZ"/>
        </w:rPr>
        <w:t>доксорубицинмен және циклофосфамидпен жүргізілетін адъювантты химиотерапиядан кейін паклитакселмен немесе доцетакселмен біріктірілімде</w:t>
      </w:r>
    </w:p>
    <w:p w:rsidR="00D31D6F" w:rsidRPr="005F36B9" w:rsidRDefault="00D31D6F" w:rsidP="00D31D6F">
      <w:pPr>
        <w:pStyle w:val="a7"/>
        <w:numPr>
          <w:ilvl w:val="0"/>
          <w:numId w:val="10"/>
        </w:numPr>
        <w:jc w:val="both"/>
        <w:rPr>
          <w:rFonts w:ascii="Times New Roman" w:hAnsi="Times New Roman"/>
          <w:spacing w:val="-4"/>
          <w:sz w:val="24"/>
          <w:szCs w:val="24"/>
          <w:lang w:val="kk-KZ"/>
        </w:rPr>
      </w:pPr>
      <w:r w:rsidRPr="005F36B9">
        <w:rPr>
          <w:rFonts w:ascii="Times New Roman" w:hAnsi="Times New Roman"/>
          <w:spacing w:val="-4"/>
          <w:sz w:val="24"/>
          <w:szCs w:val="24"/>
          <w:lang w:val="kk-KZ"/>
        </w:rPr>
        <w:t>доцетакселмен және карбоплатинмен жүргізілетін адъювантты химиотерапиямен біріктірілімде</w:t>
      </w:r>
    </w:p>
    <w:p w:rsidR="00D31D6F" w:rsidRPr="005F36B9" w:rsidRDefault="00D31D6F" w:rsidP="00D31D6F">
      <w:pPr>
        <w:pStyle w:val="a7"/>
        <w:numPr>
          <w:ilvl w:val="0"/>
          <w:numId w:val="10"/>
        </w:numPr>
        <w:jc w:val="both"/>
        <w:rPr>
          <w:rFonts w:ascii="Times New Roman" w:hAnsi="Times New Roman"/>
          <w:spacing w:val="-4"/>
          <w:sz w:val="24"/>
          <w:szCs w:val="24"/>
          <w:lang w:val="kk-KZ"/>
        </w:rPr>
      </w:pPr>
      <w:r w:rsidRPr="005F36B9">
        <w:rPr>
          <w:rFonts w:ascii="Times New Roman" w:hAnsi="Times New Roman"/>
          <w:spacing w:val="-4"/>
          <w:sz w:val="24"/>
          <w:szCs w:val="24"/>
          <w:lang w:val="kk-KZ"/>
        </w:rPr>
        <w:t>жергілікті таралған ауру (қабыну түрін қоса алғанда) кезінде немесе ісіктің өлшемі диаметрінде &gt;2 см болған жағдайда, неоадъювантты химиотерапиямен және кейіннен [САУДАЛЫҚ АТАУЫ] жүргізілетін адъювантты еммен біріктірілімде.</w:t>
      </w:r>
      <w:r w:rsidR="00CB4802" w:rsidRPr="005F36B9">
        <w:rPr>
          <w:rFonts w:ascii="Times New Roman" w:hAnsi="Times New Roman"/>
          <w:spacing w:val="-4"/>
          <w:sz w:val="24"/>
          <w:szCs w:val="24"/>
          <w:lang w:val="kk-KZ"/>
        </w:rPr>
        <w:t xml:space="preserve"> </w:t>
      </w:r>
      <w:r w:rsidR="00CB4802" w:rsidRPr="005F36B9">
        <w:rPr>
          <w:rFonts w:ascii="Times New Roman" w:hAnsi="Times New Roman"/>
          <w:spacing w:val="-4"/>
          <w:sz w:val="24"/>
          <w:szCs w:val="24"/>
          <w:lang w:val="kk-KZ"/>
        </w:rPr>
        <w:t>(4.4 және 5.1 бөлімдерді қараңыз).</w:t>
      </w:r>
    </w:p>
    <w:p w:rsidR="000729A0" w:rsidRPr="005F36B9" w:rsidRDefault="00D31D6F" w:rsidP="00D31D6F">
      <w:pPr>
        <w:pStyle w:val="a7"/>
        <w:jc w:val="both"/>
        <w:rPr>
          <w:rFonts w:ascii="Times New Roman" w:hAnsi="Times New Roman"/>
          <w:spacing w:val="-4"/>
          <w:sz w:val="24"/>
          <w:szCs w:val="24"/>
          <w:lang w:val="kk-KZ"/>
        </w:rPr>
      </w:pPr>
      <w:r w:rsidRPr="005F36B9">
        <w:rPr>
          <w:rFonts w:ascii="Times New Roman" w:hAnsi="Times New Roman"/>
          <w:spacing w:val="-4"/>
          <w:sz w:val="24"/>
          <w:szCs w:val="24"/>
          <w:lang w:val="kk-KZ"/>
        </w:rPr>
        <w:t>[САУДАЛЫҚ АТАУЫ] дәл және валидацияланған тестілерді пайдалана отырып анықталған, HER2 ісік гиперэкспрессиясы немесе HER2 генінің амплификациясы бар сүт безінің метастаздық немесе ерте обырына шалдыққан п</w:t>
      </w:r>
      <w:r w:rsidRPr="005F36B9">
        <w:rPr>
          <w:rFonts w:ascii="Times New Roman" w:hAnsi="Times New Roman"/>
          <w:spacing w:val="-4"/>
          <w:sz w:val="24"/>
          <w:szCs w:val="24"/>
          <w:lang w:val="kk-KZ"/>
        </w:rPr>
        <w:t xml:space="preserve">ациенттерде ғана қолдану керек </w:t>
      </w:r>
      <w:r w:rsidR="00626173" w:rsidRPr="005F36B9">
        <w:rPr>
          <w:rFonts w:ascii="Times New Roman" w:hAnsi="Times New Roman"/>
          <w:spacing w:val="-4"/>
          <w:sz w:val="24"/>
          <w:szCs w:val="24"/>
          <w:lang w:val="kk-KZ"/>
        </w:rPr>
        <w:t xml:space="preserve"> (4.4 және 5.1 </w:t>
      </w:r>
      <w:r w:rsidR="000118FC" w:rsidRPr="005F36B9">
        <w:rPr>
          <w:rFonts w:ascii="Times New Roman" w:hAnsi="Times New Roman"/>
          <w:spacing w:val="-4"/>
          <w:sz w:val="24"/>
          <w:szCs w:val="24"/>
          <w:lang w:val="kk-KZ"/>
        </w:rPr>
        <w:t>бөлімдерді қараңыз).</w:t>
      </w:r>
    </w:p>
    <w:bookmarkEnd w:id="1"/>
    <w:p w:rsidR="00B95EA8" w:rsidRPr="005F36B9" w:rsidRDefault="00B95EA8" w:rsidP="005A4CED">
      <w:pPr>
        <w:jc w:val="both"/>
        <w:rPr>
          <w:b/>
          <w:spacing w:val="-4"/>
          <w:lang w:val="kk-KZ" w:eastAsia="ru-RU"/>
        </w:rPr>
      </w:pPr>
    </w:p>
    <w:p w:rsidR="00707D8A" w:rsidRPr="005F36B9" w:rsidRDefault="000118FC" w:rsidP="005A4CED">
      <w:pPr>
        <w:jc w:val="both"/>
        <w:rPr>
          <w:b/>
          <w:spacing w:val="-4"/>
          <w:lang w:val="kk-KZ"/>
        </w:rPr>
      </w:pPr>
      <w:r w:rsidRPr="005F36B9">
        <w:rPr>
          <w:b/>
          <w:spacing w:val="-4"/>
          <w:lang w:val="kk-KZ"/>
        </w:rPr>
        <w:t>4.2 Дозалау режимі және қолдану тәсілі</w:t>
      </w:r>
    </w:p>
    <w:p w:rsidR="000729A0" w:rsidRPr="005F36B9" w:rsidRDefault="000118FC" w:rsidP="000729A0">
      <w:pPr>
        <w:widowControl/>
        <w:jc w:val="both"/>
        <w:rPr>
          <w:spacing w:val="-4"/>
          <w:lang w:val="kk-KZ"/>
        </w:rPr>
      </w:pPr>
      <w:r w:rsidRPr="005F36B9">
        <w:rPr>
          <w:spacing w:val="-4"/>
          <w:lang w:val="kk-KZ"/>
        </w:rPr>
        <w:t xml:space="preserve">Емдеу басталғанға дейін HER2 ісік экспрессиясын </w:t>
      </w:r>
      <w:r w:rsidR="00BF1259" w:rsidRPr="005F36B9">
        <w:rPr>
          <w:spacing w:val="-4"/>
          <w:lang w:val="kk-KZ"/>
        </w:rPr>
        <w:t xml:space="preserve">тестілеу </w:t>
      </w:r>
      <w:r w:rsidRPr="005F36B9">
        <w:rPr>
          <w:spacing w:val="-4"/>
          <w:lang w:val="kk-KZ"/>
        </w:rPr>
        <w:t xml:space="preserve"> міндетті болып табылады (4.4 және 5.1 бөлімдерді қараңыз). </w:t>
      </w:r>
      <w:r w:rsidR="0050122F" w:rsidRPr="005F36B9">
        <w:rPr>
          <w:spacing w:val="-4"/>
          <w:lang w:val="kk-KZ"/>
        </w:rPr>
        <w:t>[САУДАЛЫҚ АТАУЫ]</w:t>
      </w:r>
      <w:r w:rsidRPr="005F36B9">
        <w:rPr>
          <w:spacing w:val="-4"/>
          <w:lang w:val="kk-KZ"/>
        </w:rPr>
        <w:t xml:space="preserve"> препаратымен емдеуді цитоуытты химиотерапия жүргізуде тәжірибесі бар</w:t>
      </w:r>
      <w:r w:rsidR="00626173" w:rsidRPr="005F36B9">
        <w:rPr>
          <w:spacing w:val="-4"/>
          <w:lang w:val="kk-KZ"/>
        </w:rPr>
        <w:t xml:space="preserve"> дәрігер ғана бастауы тиіс (4.4 </w:t>
      </w:r>
      <w:r w:rsidRPr="005F36B9">
        <w:rPr>
          <w:spacing w:val="-4"/>
          <w:lang w:val="kk-KZ"/>
        </w:rPr>
        <w:t>бөлімді қараңыз); препаратты енгізуді тек білікті медицина қызметкері жүргізуі қажет.</w:t>
      </w:r>
    </w:p>
    <w:p w:rsidR="000729A0" w:rsidRPr="005F36B9" w:rsidRDefault="000118FC" w:rsidP="000729A0">
      <w:pPr>
        <w:widowControl/>
        <w:jc w:val="both"/>
        <w:rPr>
          <w:spacing w:val="-4"/>
          <w:lang w:val="kk-KZ"/>
        </w:rPr>
      </w:pPr>
      <w:r w:rsidRPr="005F36B9">
        <w:rPr>
          <w:spacing w:val="-4"/>
          <w:lang w:val="kk-KZ"/>
        </w:rPr>
        <w:t xml:space="preserve">Препаратты енгізер алдында таңбалауды тексеру және пациенттің тағайындалуына сәйкес препараттың тиісті дәрілік түрінің (белгіленген дозаны вена ішіне енгізу немесе тері астына енгізу үшін) енгізілгеніне көз жеткізу маңызды. Тері астына енгізуге арналған </w:t>
      </w:r>
      <w:r w:rsidR="00BF1259" w:rsidRPr="005F36B9">
        <w:rPr>
          <w:spacing w:val="-4"/>
          <w:lang w:val="kk-KZ"/>
        </w:rPr>
        <w:t xml:space="preserve">дәрілік түрдегі </w:t>
      </w:r>
      <w:r w:rsidR="0050122F" w:rsidRPr="005F36B9">
        <w:rPr>
          <w:spacing w:val="-4"/>
          <w:lang w:val="kk-KZ"/>
        </w:rPr>
        <w:t>[САУДАЛЫҚ АТАУЫ]</w:t>
      </w:r>
      <w:r w:rsidRPr="005F36B9">
        <w:rPr>
          <w:spacing w:val="-4"/>
          <w:lang w:val="kk-KZ"/>
        </w:rPr>
        <w:t xml:space="preserve"> препараты вена ішіне енгізуге арналмаған және тек тері астына инъекциялар түрінде қолданылуы тиіс.</w:t>
      </w:r>
    </w:p>
    <w:p w:rsidR="000729A0" w:rsidRPr="005F36B9" w:rsidRDefault="000118FC" w:rsidP="000729A0">
      <w:pPr>
        <w:widowControl/>
        <w:jc w:val="both"/>
        <w:rPr>
          <w:spacing w:val="-4"/>
          <w:lang w:val="kk-KZ"/>
        </w:rPr>
      </w:pPr>
      <w:r w:rsidRPr="005F36B9">
        <w:rPr>
          <w:spacing w:val="-4"/>
          <w:lang w:val="kk-KZ"/>
        </w:rPr>
        <w:t>Вена ішіне енгізуге арналған дәрілік түрінен тері астына енгізуге арналған дәрілік түріне ауысу және керісінше 3 аптада бір рет енгізу режимі кезінде М022982 зерт</w:t>
      </w:r>
      <w:r w:rsidR="00626173" w:rsidRPr="005F36B9">
        <w:rPr>
          <w:spacing w:val="-4"/>
          <w:lang w:val="kk-KZ"/>
        </w:rPr>
        <w:t xml:space="preserve">теуінде зерттелген болатын (4.8 </w:t>
      </w:r>
      <w:r w:rsidRPr="005F36B9">
        <w:rPr>
          <w:spacing w:val="-4"/>
          <w:lang w:val="kk-KZ"/>
        </w:rPr>
        <w:t>бөлімді қараңыз).</w:t>
      </w:r>
    </w:p>
    <w:p w:rsidR="000729A0" w:rsidRPr="005F36B9" w:rsidRDefault="000118FC" w:rsidP="00EB4336">
      <w:pPr>
        <w:widowControl/>
        <w:jc w:val="both"/>
        <w:rPr>
          <w:spacing w:val="-4"/>
          <w:lang w:val="kk-KZ"/>
        </w:rPr>
      </w:pPr>
      <w:r w:rsidRPr="005F36B9">
        <w:rPr>
          <w:spacing w:val="-4"/>
          <w:lang w:val="kk-KZ"/>
        </w:rPr>
        <w:t>Қате қолдануға жол бермеу мақсатында құтының заттаңбасында көрсетілген ақпаратпен танысып шығу және</w:t>
      </w:r>
      <w:r w:rsidR="00BF1259" w:rsidRPr="005F36B9">
        <w:rPr>
          <w:spacing w:val="-4"/>
          <w:lang w:val="kk-KZ"/>
        </w:rPr>
        <w:t xml:space="preserve"> </w:t>
      </w:r>
      <w:r w:rsidRPr="005F36B9">
        <w:rPr>
          <w:spacing w:val="-4"/>
          <w:lang w:val="kk-KZ"/>
        </w:rPr>
        <w:t xml:space="preserve">дайындалған әрі енгізілетін препарат - </w:t>
      </w:r>
      <w:r w:rsidR="005131A1" w:rsidRPr="005F36B9">
        <w:rPr>
          <w:spacing w:val="-4"/>
          <w:lang w:val="kk-KZ"/>
        </w:rPr>
        <w:t>құрамында трастузумаб (трастузумаб эмтанзин немесе трастузумаб дерукстекан) бар басқа препарат емес</w:t>
      </w:r>
      <w:r w:rsidRPr="005F36B9">
        <w:rPr>
          <w:spacing w:val="-4"/>
          <w:lang w:val="kk-KZ"/>
        </w:rPr>
        <w:t xml:space="preserve">, </w:t>
      </w:r>
      <w:r w:rsidR="0050122F" w:rsidRPr="005F36B9">
        <w:rPr>
          <w:spacing w:val="-4"/>
          <w:lang w:val="kk-KZ"/>
        </w:rPr>
        <w:t>[САУДАЛЫҚ АТАУЫ]</w:t>
      </w:r>
      <w:r w:rsidRPr="005F36B9">
        <w:rPr>
          <w:spacing w:val="-4"/>
          <w:lang w:val="kk-KZ"/>
        </w:rPr>
        <w:t xml:space="preserve"> (трастузумаб) екендігіне көз жеткізу маңызды.</w:t>
      </w:r>
    </w:p>
    <w:p w:rsidR="00707D8A" w:rsidRPr="005F36B9" w:rsidRDefault="000118FC" w:rsidP="005A4CED">
      <w:pPr>
        <w:jc w:val="both"/>
        <w:rPr>
          <w:b/>
          <w:spacing w:val="-4"/>
          <w:lang w:val="kk-KZ"/>
        </w:rPr>
      </w:pPr>
      <w:r w:rsidRPr="005F36B9">
        <w:rPr>
          <w:b/>
          <w:spacing w:val="-4"/>
          <w:lang w:val="kk-KZ"/>
        </w:rPr>
        <w:t>Дозалау режимі</w:t>
      </w:r>
    </w:p>
    <w:p w:rsidR="00676C1E" w:rsidRPr="005F36B9" w:rsidRDefault="00676C1E" w:rsidP="00676C1E">
      <w:pPr>
        <w:pStyle w:val="a7"/>
        <w:jc w:val="both"/>
        <w:rPr>
          <w:rFonts w:ascii="Times New Roman" w:hAnsi="Times New Roman"/>
          <w:spacing w:val="-4"/>
          <w:sz w:val="24"/>
          <w:szCs w:val="24"/>
          <w:lang w:val="kk-KZ"/>
        </w:rPr>
      </w:pPr>
      <w:r w:rsidRPr="005F36B9">
        <w:rPr>
          <w:rFonts w:ascii="Times New Roman" w:hAnsi="Times New Roman"/>
          <w:spacing w:val="-4"/>
          <w:sz w:val="24"/>
          <w:szCs w:val="24"/>
          <w:lang w:val="kk-KZ"/>
        </w:rPr>
        <w:t>Тері астына енгізуге арналған дәрілік түрдегі [САУДАЛЫҚ АТАУЫ] препаратының ұсынылатын дозасы пациенттің дене салмағына қарамастан 600 мг құрайды. Жүктеме доза қажет емес. Аталған доза әрбір үш апта сайын тері астына 2-5 минут бойы енгізу керек.</w:t>
      </w:r>
    </w:p>
    <w:p w:rsidR="00FB3CBB" w:rsidRPr="005F36B9" w:rsidRDefault="000118FC" w:rsidP="00EB4336">
      <w:pPr>
        <w:jc w:val="both"/>
        <w:rPr>
          <w:color w:val="FF0000"/>
          <w:spacing w:val="-4"/>
          <w:lang w:val="kk-KZ"/>
        </w:rPr>
      </w:pPr>
      <w:r w:rsidRPr="005F36B9">
        <w:rPr>
          <w:spacing w:val="-4"/>
          <w:lang w:val="kk-KZ"/>
        </w:rPr>
        <w:t>Базалық (BO22227) зерттеуде</w:t>
      </w:r>
      <w:r w:rsidR="00B029BA" w:rsidRPr="005F36B9">
        <w:rPr>
          <w:spacing w:val="-4"/>
          <w:lang w:val="kk-KZ"/>
        </w:rPr>
        <w:t xml:space="preserve"> </w:t>
      </w:r>
      <w:r w:rsidRPr="005F36B9">
        <w:rPr>
          <w:spacing w:val="-4"/>
          <w:lang w:val="kk-KZ"/>
        </w:rPr>
        <w:t xml:space="preserve">тері астына енгізуге арналған дәрілік түрдегі </w:t>
      </w:r>
      <w:r w:rsidR="0050122F" w:rsidRPr="005F36B9">
        <w:rPr>
          <w:spacing w:val="-4"/>
          <w:lang w:val="kk-KZ"/>
        </w:rPr>
        <w:t>[САУДАЛЫҚ АТАУЫ]</w:t>
      </w:r>
      <w:r w:rsidRPr="005F36B9">
        <w:rPr>
          <w:spacing w:val="-4"/>
          <w:lang w:val="kk-KZ"/>
        </w:rPr>
        <w:t xml:space="preserve"> препараты сүт безінің ерте обырына шалдық</w:t>
      </w:r>
      <w:r w:rsidR="00626173" w:rsidRPr="005F36B9">
        <w:rPr>
          <w:spacing w:val="-4"/>
          <w:lang w:val="kk-KZ"/>
        </w:rPr>
        <w:t>қан пациенттерде неоадъювантты</w:t>
      </w:r>
      <w:r w:rsidRPr="005F36B9">
        <w:rPr>
          <w:spacing w:val="-4"/>
          <w:lang w:val="kk-KZ"/>
        </w:rPr>
        <w:t>/адъювантты режимде қолданылды. Операция алдындағы химиотерапия режимі стандартты дозалаудағы FEC схемасы (5-фторурацил, эпирубицин және циклофосфамид) бойынша кейіннен доцетакселмен(75 мг/м</w:t>
      </w:r>
      <w:r w:rsidRPr="005F36B9">
        <w:rPr>
          <w:spacing w:val="-4"/>
          <w:vertAlign w:val="superscript"/>
          <w:lang w:val="kk-KZ"/>
        </w:rPr>
        <w:t>2</w:t>
      </w:r>
      <w:r w:rsidRPr="005F36B9">
        <w:rPr>
          <w:spacing w:val="-4"/>
          <w:lang w:val="kk-KZ"/>
        </w:rPr>
        <w:t>) жүргізілетін химиотерапиядан тұрды.</w:t>
      </w:r>
    </w:p>
    <w:p w:rsidR="00FB3CBB" w:rsidRPr="005F36B9" w:rsidRDefault="000118FC" w:rsidP="00FB3CBB">
      <w:pPr>
        <w:jc w:val="both"/>
        <w:rPr>
          <w:spacing w:val="-4"/>
          <w:lang w:val="kk-KZ"/>
        </w:rPr>
      </w:pPr>
      <w:r w:rsidRPr="005F36B9">
        <w:rPr>
          <w:spacing w:val="-4"/>
          <w:lang w:val="kk-KZ"/>
        </w:rPr>
        <w:t>Біріктірілген химиотерапия жағдайын</w:t>
      </w:r>
      <w:r w:rsidR="00626173" w:rsidRPr="005F36B9">
        <w:rPr>
          <w:spacing w:val="-4"/>
          <w:lang w:val="kk-KZ"/>
        </w:rPr>
        <w:t xml:space="preserve">да дозалау туралы ақпаратты 5.1 </w:t>
      </w:r>
      <w:r w:rsidRPr="005F36B9">
        <w:rPr>
          <w:spacing w:val="-4"/>
          <w:lang w:val="kk-KZ"/>
        </w:rPr>
        <w:t>бөлімнен қараңыз.</w:t>
      </w:r>
    </w:p>
    <w:p w:rsidR="00FB3CBB" w:rsidRPr="005F36B9" w:rsidRDefault="000118FC" w:rsidP="00FB3CBB">
      <w:pPr>
        <w:jc w:val="both"/>
        <w:rPr>
          <w:i/>
          <w:spacing w:val="-4"/>
          <w:lang w:val="kk-KZ"/>
        </w:rPr>
      </w:pPr>
      <w:r w:rsidRPr="005F36B9">
        <w:rPr>
          <w:i/>
          <w:spacing w:val="-4"/>
          <w:lang w:val="kk-KZ"/>
        </w:rPr>
        <w:t>Емдеу ұзақтығы</w:t>
      </w:r>
    </w:p>
    <w:p w:rsidR="00FB3CBB" w:rsidRPr="005F36B9" w:rsidRDefault="00334DE4" w:rsidP="00334DE4">
      <w:pPr>
        <w:contextualSpacing/>
        <w:jc w:val="both"/>
        <w:rPr>
          <w:strike/>
          <w:noProof/>
          <w:color w:val="000000"/>
          <w:spacing w:val="-4"/>
          <w:lang w:val="kk-KZ"/>
        </w:rPr>
      </w:pPr>
      <w:r w:rsidRPr="005F36B9">
        <w:rPr>
          <w:spacing w:val="-4"/>
          <w:lang w:val="kk-KZ"/>
        </w:rPr>
        <w:t xml:space="preserve">СБмО-ға шалдыққан пациенттерде [САУДАЛЫҚ АТАУЫ] препаратымен емдеуді ауру </w:t>
      </w:r>
      <w:r w:rsidR="004D298C" w:rsidRPr="005F36B9">
        <w:rPr>
          <w:spacing w:val="-4"/>
          <w:lang w:val="kk-KZ"/>
        </w:rPr>
        <w:t xml:space="preserve">өршігенге дейін жалғастырылуы  </w:t>
      </w:r>
      <w:r w:rsidRPr="005F36B9">
        <w:rPr>
          <w:spacing w:val="-4"/>
          <w:lang w:val="kk-KZ"/>
        </w:rPr>
        <w:t>тиіс</w:t>
      </w:r>
      <w:r w:rsidR="004D298C" w:rsidRPr="005F36B9">
        <w:rPr>
          <w:spacing w:val="-4"/>
          <w:lang w:val="kk-KZ"/>
        </w:rPr>
        <w:t>. СБеО-ға шалдыққан пациенттер қайсысының ерте басталуына байланысты 1 жыл бойы немесе ауру қайталанғанға дейін [САУДАЛЫҚ АТАУЫ] препаратымен ем қабылдауы қажет,; СБеО-ға шалдыққан пациенттерде емдеуді бір жылдан артық жалғастыру ұсынылмайды.</w:t>
      </w:r>
      <w:r w:rsidR="004D298C" w:rsidRPr="005F36B9">
        <w:rPr>
          <w:color w:val="000000"/>
          <w:spacing w:val="-4"/>
          <w:lang w:val="kk-KZ"/>
        </w:rPr>
        <w:t xml:space="preserve"> </w:t>
      </w:r>
      <w:r w:rsidRPr="005F36B9">
        <w:rPr>
          <w:color w:val="000000"/>
          <w:spacing w:val="-4"/>
          <w:lang w:val="kk-KZ"/>
        </w:rPr>
        <w:t xml:space="preserve"> </w:t>
      </w:r>
      <w:r w:rsidR="00626173" w:rsidRPr="005F36B9">
        <w:rPr>
          <w:spacing w:val="-4"/>
          <w:lang w:val="kk-KZ"/>
        </w:rPr>
        <w:t xml:space="preserve">(5.1 </w:t>
      </w:r>
      <w:r w:rsidR="000118FC" w:rsidRPr="005F36B9">
        <w:rPr>
          <w:spacing w:val="-4"/>
          <w:lang w:val="kk-KZ"/>
        </w:rPr>
        <w:t>бөлімді қараңыз).</w:t>
      </w:r>
    </w:p>
    <w:p w:rsidR="00FB3CBB" w:rsidRPr="005F36B9" w:rsidRDefault="000118FC" w:rsidP="00FB3CBB">
      <w:pPr>
        <w:jc w:val="both"/>
        <w:rPr>
          <w:i/>
          <w:spacing w:val="-4"/>
          <w:lang w:val="kk-KZ"/>
        </w:rPr>
      </w:pPr>
      <w:r w:rsidRPr="005F36B9">
        <w:rPr>
          <w:i/>
          <w:spacing w:val="-4"/>
          <w:lang w:val="kk-KZ"/>
        </w:rPr>
        <w:t>Дозаны төмендету</w:t>
      </w:r>
    </w:p>
    <w:p w:rsidR="00FB3CBB" w:rsidRPr="005F36B9" w:rsidRDefault="000118FC" w:rsidP="00FB3CBB">
      <w:pPr>
        <w:jc w:val="both"/>
        <w:rPr>
          <w:spacing w:val="-4"/>
          <w:lang w:val="kk-KZ"/>
        </w:rPr>
      </w:pPr>
      <w:r w:rsidRPr="005F36B9">
        <w:rPr>
          <w:spacing w:val="-4"/>
          <w:lang w:val="kk-KZ"/>
        </w:rPr>
        <w:t xml:space="preserve">Клиникалық зерттеулерде </w:t>
      </w:r>
      <w:r w:rsidR="0050122F" w:rsidRPr="005F36B9">
        <w:rPr>
          <w:spacing w:val="-4"/>
          <w:lang w:val="kk-KZ"/>
        </w:rPr>
        <w:t>[САУДАЛЫҚ АТАУЫ]</w:t>
      </w:r>
      <w:r w:rsidRPr="005F36B9">
        <w:rPr>
          <w:spacing w:val="-4"/>
          <w:lang w:val="kk-KZ"/>
        </w:rPr>
        <w:t xml:space="preserve"> препаратының дозасы төмендетілген жоқ. Индукцияланған химиотерапиядан туындаған қайтымды миелосупрессияның пайда </w:t>
      </w:r>
      <w:r w:rsidRPr="005F36B9">
        <w:rPr>
          <w:spacing w:val="-4"/>
          <w:lang w:val="kk-KZ"/>
        </w:rPr>
        <w:lastRenderedPageBreak/>
        <w:t>болу кезеңінде препаратпен емдеу жалғастырылуы мүмкін, осы уақыт ішінде пациенттер нейтропенияның асқынуын болдырмау мақсатында мұқият бақылауда болуы тиіс. Паклитаксел, доцетаксел немесе ароматаза тежегіштері дозасының төмендеуі немесе кідіруі туралы ақпаратқа қатысты дәрілік препараттардың жалпы сипаттамаларына жүгіну керек.</w:t>
      </w:r>
    </w:p>
    <w:p w:rsidR="00FB3CBB" w:rsidRPr="005F36B9" w:rsidRDefault="000118FC" w:rsidP="00FB3CBB">
      <w:pPr>
        <w:jc w:val="both"/>
        <w:rPr>
          <w:spacing w:val="-4"/>
          <w:lang w:val="kk-KZ"/>
        </w:rPr>
      </w:pPr>
      <w:r w:rsidRPr="005F36B9">
        <w:rPr>
          <w:spacing w:val="-4"/>
          <w:lang w:val="kk-KZ"/>
        </w:rPr>
        <w:t>Егер сол қарынш</w:t>
      </w:r>
      <w:r w:rsidR="00626173" w:rsidRPr="005F36B9">
        <w:rPr>
          <w:spacing w:val="-4"/>
          <w:lang w:val="kk-KZ"/>
        </w:rPr>
        <w:t>аның лықсу фракциясы (СҚЛФ, %-</w:t>
      </w:r>
      <w:r w:rsidRPr="005F36B9">
        <w:rPr>
          <w:spacing w:val="-4"/>
          <w:lang w:val="kk-KZ"/>
        </w:rPr>
        <w:t>бен) бастапқы деңгейден ≥10 тармаққа</w:t>
      </w:r>
      <w:r w:rsidR="00AD7E23" w:rsidRPr="005F36B9">
        <w:rPr>
          <w:spacing w:val="-4"/>
          <w:lang w:val="kk-KZ"/>
        </w:rPr>
        <w:t xml:space="preserve"> </w:t>
      </w:r>
      <w:r w:rsidRPr="005F36B9">
        <w:rPr>
          <w:spacing w:val="-4"/>
          <w:lang w:val="kk-KZ"/>
        </w:rPr>
        <w:t>түссе және 50% мәнінен төмен болса, емдеуді уақытша тоқтатып, шамамен 3 аптадан кейін</w:t>
      </w:r>
      <w:r w:rsidR="00AD7E23" w:rsidRPr="005F36B9">
        <w:rPr>
          <w:spacing w:val="-4"/>
          <w:lang w:val="kk-KZ"/>
        </w:rPr>
        <w:t xml:space="preserve"> </w:t>
      </w:r>
      <w:r w:rsidRPr="005F36B9">
        <w:rPr>
          <w:spacing w:val="-4"/>
          <w:lang w:val="kk-KZ"/>
        </w:rPr>
        <w:t xml:space="preserve">СҚЛФ қайта бағалауды жүргізу қажет. СҚЛФ көрсеткішінің жақсаруы немесе оның одан әрі төмендеуі болмаған кезде немесе іркілісті жүрек жеткіліксіздігі (ІЖЖ) симптомдары дамығанда нақты пациент үшін емдеудің пайдасы қауіптерден асып түсетін жағдайларды қоспағанда, </w:t>
      </w:r>
      <w:r w:rsidR="0050122F" w:rsidRPr="005F36B9">
        <w:rPr>
          <w:spacing w:val="-4"/>
          <w:lang w:val="kk-KZ"/>
        </w:rPr>
        <w:t>[САУДАЛЫҚ АТАУЫ]</w:t>
      </w:r>
      <w:r w:rsidRPr="005F36B9">
        <w:rPr>
          <w:spacing w:val="-4"/>
          <w:lang w:val="kk-KZ"/>
        </w:rPr>
        <w:t xml:space="preserve"> препаратымен емдеуді тоқтату туралы мәселені қарау қажет. Барлық осындай пациенттер кардиологқа тексерілуге және әрі қарай бақылаудан өтуге жіберілу тиіс.</w:t>
      </w:r>
    </w:p>
    <w:p w:rsidR="00FB3CBB" w:rsidRPr="005F36B9" w:rsidRDefault="000118FC" w:rsidP="00FB3CBB">
      <w:pPr>
        <w:jc w:val="both"/>
        <w:rPr>
          <w:i/>
          <w:spacing w:val="-4"/>
          <w:lang w:val="kk-KZ"/>
        </w:rPr>
      </w:pPr>
      <w:r w:rsidRPr="005F36B9">
        <w:rPr>
          <w:i/>
          <w:spacing w:val="-4"/>
          <w:lang w:val="kk-KZ"/>
        </w:rPr>
        <w:t>Дозаны өткізіп алу</w:t>
      </w:r>
    </w:p>
    <w:p w:rsidR="00FB3CBB" w:rsidRPr="005F36B9" w:rsidRDefault="000118FC" w:rsidP="00FB3CBB">
      <w:pPr>
        <w:widowControl/>
        <w:jc w:val="both"/>
        <w:rPr>
          <w:spacing w:val="-4"/>
          <w:lang w:val="kk-KZ"/>
        </w:rPr>
      </w:pPr>
      <w:bookmarkStart w:id="2" w:name="_Hlk63892610"/>
      <w:r w:rsidRPr="005F36B9">
        <w:rPr>
          <w:spacing w:val="-4"/>
          <w:lang w:val="kk-KZ"/>
        </w:rPr>
        <w:t xml:space="preserve">Тері астына енгізуге арналған </w:t>
      </w:r>
      <w:r w:rsidR="0050122F" w:rsidRPr="005F36B9">
        <w:rPr>
          <w:spacing w:val="-4"/>
          <w:lang w:val="kk-KZ"/>
        </w:rPr>
        <w:t>[САУДАЛЫҚ АТАУЫ]</w:t>
      </w:r>
      <w:r w:rsidRPr="005F36B9">
        <w:rPr>
          <w:spacing w:val="-4"/>
          <w:lang w:val="kk-KZ"/>
        </w:rPr>
        <w:t xml:space="preserve"> препаратының дозасын өткізіп алған кезде 600 мг келесі (яғни өткізіп алған) дозасын мүмкіндігінше тез енгізу ұсынылады. Тері астына енгізуге арналған </w:t>
      </w:r>
      <w:r w:rsidR="0050122F" w:rsidRPr="005F36B9">
        <w:rPr>
          <w:spacing w:val="-4"/>
          <w:lang w:val="kk-KZ"/>
        </w:rPr>
        <w:t>[САУДАЛЫҚ АТАУЫ]</w:t>
      </w:r>
      <w:r w:rsidRPr="005F36B9">
        <w:rPr>
          <w:spacing w:val="-4"/>
          <w:lang w:val="kk-KZ"/>
        </w:rPr>
        <w:t xml:space="preserve"> препаратының екі дозасы арасындағы аралық кемінде 3 апта болуы тиіс.</w:t>
      </w:r>
    </w:p>
    <w:bookmarkEnd w:id="2"/>
    <w:p w:rsidR="00FB3CBB" w:rsidRPr="005F36B9" w:rsidRDefault="000118FC" w:rsidP="00FB3CBB">
      <w:pPr>
        <w:jc w:val="both"/>
        <w:rPr>
          <w:b/>
          <w:spacing w:val="-4"/>
          <w:lang w:val="kk-KZ"/>
        </w:rPr>
      </w:pPr>
      <w:r w:rsidRPr="005F36B9">
        <w:rPr>
          <w:b/>
          <w:spacing w:val="-4"/>
          <w:lang w:val="kk-KZ"/>
        </w:rPr>
        <w:t>Пациенттердің ерекше топтары</w:t>
      </w:r>
    </w:p>
    <w:p w:rsidR="00FB3CBB" w:rsidRPr="005F36B9" w:rsidRDefault="000118FC" w:rsidP="00FB3CBB">
      <w:pPr>
        <w:jc w:val="both"/>
        <w:rPr>
          <w:spacing w:val="-4"/>
          <w:lang w:val="kk-KZ"/>
        </w:rPr>
      </w:pPr>
      <w:bookmarkStart w:id="3" w:name="_Hlk63891252"/>
      <w:r w:rsidRPr="005F36B9">
        <w:rPr>
          <w:spacing w:val="-4"/>
          <w:lang w:val="kk-KZ"/>
        </w:rPr>
        <w:t>Егде жастағы пациенттерде және бүйрек пен бауыр функциялары бұзылған пациенттерде препаратты қолдану бойынша арнайы фармакокинетикалық зерттеулер жүргізілмеген. Популяциялық фармакокинетикалық талдауда жасы және бүйрек функциясының бұзылуы трастузумабтың таралуына әсер етпейтіні көрсетілді.</w:t>
      </w:r>
    </w:p>
    <w:p w:rsidR="00FB3CBB" w:rsidRPr="005F36B9" w:rsidRDefault="000118FC" w:rsidP="00FB3CBB">
      <w:pPr>
        <w:jc w:val="both"/>
        <w:rPr>
          <w:i/>
          <w:spacing w:val="-4"/>
          <w:lang w:val="ru-RU"/>
        </w:rPr>
      </w:pPr>
      <w:r w:rsidRPr="005F36B9">
        <w:rPr>
          <w:i/>
          <w:spacing w:val="-4"/>
          <w:lang w:val="kk-KZ"/>
        </w:rPr>
        <w:t>Балалар</w:t>
      </w:r>
    </w:p>
    <w:p w:rsidR="00FB3CBB" w:rsidRPr="005F36B9" w:rsidRDefault="0050122F" w:rsidP="00FB3CBB">
      <w:pPr>
        <w:jc w:val="both"/>
        <w:rPr>
          <w:spacing w:val="-4"/>
          <w:lang w:val="ru-RU"/>
        </w:rPr>
      </w:pPr>
      <w:r w:rsidRPr="005F36B9">
        <w:rPr>
          <w:spacing w:val="-4"/>
          <w:lang w:val="kk-KZ"/>
        </w:rPr>
        <w:t>[САУДАЛЫҚ АТАУЫ]</w:t>
      </w:r>
      <w:r w:rsidR="000118FC" w:rsidRPr="005F36B9">
        <w:rPr>
          <w:spacing w:val="-4"/>
          <w:lang w:val="kk-KZ"/>
        </w:rPr>
        <w:t xml:space="preserve"> препаратын балаларда қолдану туралы деректер жоқ.</w:t>
      </w:r>
    </w:p>
    <w:bookmarkEnd w:id="3"/>
    <w:p w:rsidR="00707D8A" w:rsidRPr="005F36B9" w:rsidRDefault="000118FC" w:rsidP="00722F40">
      <w:pPr>
        <w:jc w:val="both"/>
        <w:rPr>
          <w:b/>
          <w:spacing w:val="-4"/>
          <w:lang w:val="ru-RU"/>
        </w:rPr>
      </w:pPr>
      <w:r w:rsidRPr="005F36B9">
        <w:rPr>
          <w:b/>
          <w:spacing w:val="-4"/>
          <w:lang w:val="kk-KZ"/>
        </w:rPr>
        <w:t>Қолдану тәсілі</w:t>
      </w:r>
    </w:p>
    <w:p w:rsidR="000E5BCF" w:rsidRPr="005F36B9" w:rsidRDefault="000E5BCF" w:rsidP="000E5BCF">
      <w:pPr>
        <w:pStyle w:val="a7"/>
        <w:jc w:val="both"/>
        <w:rPr>
          <w:rFonts w:ascii="Times New Roman" w:hAnsi="Times New Roman"/>
          <w:spacing w:val="-4"/>
          <w:sz w:val="24"/>
          <w:szCs w:val="24"/>
          <w:lang w:val="kk-KZ"/>
        </w:rPr>
      </w:pPr>
      <w:r w:rsidRPr="005F36B9">
        <w:rPr>
          <w:rFonts w:ascii="Times New Roman" w:hAnsi="Times New Roman"/>
          <w:spacing w:val="-4"/>
          <w:sz w:val="24"/>
          <w:szCs w:val="24"/>
          <w:lang w:val="kk-KZ"/>
        </w:rPr>
        <w:t>Препараттың 600 мг дозасын үш аптада бір рет ұзақтығы 2-5 минут болатын тері астына инъекция ретінде ғана енгізу керек. Инъекцияларды кезек-кезек сол және оң жақ жамбасқа салу керек. Жаңа инъекциялар алдындағы инъекция енгізілген жерден кемінде 2.5 см қашықтықта салынуы керек; инъекцияларды қызарған, көгерген, нәзік немесе тығыздалған теріге салуға болмайды. Тері астына енгізуге арналған дәрілік түрдегі [САУДАЛЫҚ АТАУЫ] препаратымен емдеу курсы кезінде тері астына енгізілетін басқа да дәрілік заттарды дененің басқа бөліктеріне енгізу ұсынылады. Пациенттер алғашқы инъекциядан кейін 6 сағат бойы және кейінгі инъекциядан кейін 2 сағат бойы енгізу орнында реакция белгілері мен симптомдарының дамуына қатысты бақылауда болуға тиіс.</w:t>
      </w:r>
    </w:p>
    <w:p w:rsidR="000E5BCF" w:rsidRPr="005F36B9" w:rsidRDefault="000E5BCF" w:rsidP="000E5BCF">
      <w:pPr>
        <w:pStyle w:val="a7"/>
        <w:jc w:val="both"/>
        <w:rPr>
          <w:rFonts w:ascii="Times New Roman" w:hAnsi="Times New Roman"/>
          <w:spacing w:val="-4"/>
          <w:sz w:val="24"/>
          <w:szCs w:val="24"/>
          <w:lang w:val="kk-KZ"/>
        </w:rPr>
      </w:pPr>
      <w:r w:rsidRPr="005F36B9">
        <w:rPr>
          <w:rFonts w:ascii="Times New Roman" w:hAnsi="Times New Roman"/>
          <w:spacing w:val="-4"/>
          <w:sz w:val="24"/>
          <w:szCs w:val="24"/>
          <w:lang w:val="kk-KZ"/>
        </w:rPr>
        <w:t xml:space="preserve">Енгізер алдында [САУДАЛЫҚ АТАУЫ] препаратын механикалық қоспалардың бар-жоғын немесе түсінің өзгеруін көзбен қарап тексеру керек. </w:t>
      </w:r>
    </w:p>
    <w:p w:rsidR="000E5BCF" w:rsidRPr="005F36B9" w:rsidRDefault="000E5BCF" w:rsidP="000E5BCF">
      <w:pPr>
        <w:pStyle w:val="a7"/>
        <w:jc w:val="both"/>
        <w:rPr>
          <w:rFonts w:ascii="Times New Roman" w:hAnsi="Times New Roman"/>
          <w:spacing w:val="-4"/>
          <w:sz w:val="24"/>
          <w:szCs w:val="24"/>
          <w:lang w:val="kk-KZ"/>
        </w:rPr>
      </w:pPr>
      <w:r w:rsidRPr="005F36B9">
        <w:rPr>
          <w:rFonts w:ascii="Times New Roman" w:hAnsi="Times New Roman"/>
          <w:spacing w:val="-4"/>
          <w:sz w:val="24"/>
          <w:szCs w:val="24"/>
          <w:lang w:val="kk-KZ"/>
        </w:rPr>
        <w:t>[САУДАЛЫҚ АТАУЫ] препараты тек бір рет қолдануға арналған.</w:t>
      </w:r>
    </w:p>
    <w:p w:rsidR="000E5BCF" w:rsidRPr="005F36B9" w:rsidRDefault="000E5BCF" w:rsidP="000E5BCF">
      <w:pPr>
        <w:pStyle w:val="a7"/>
        <w:jc w:val="both"/>
        <w:rPr>
          <w:rFonts w:ascii="Times New Roman" w:hAnsi="Times New Roman"/>
          <w:spacing w:val="-4"/>
          <w:sz w:val="24"/>
          <w:szCs w:val="24"/>
          <w:lang w:val="kk-KZ"/>
        </w:rPr>
      </w:pPr>
      <w:r w:rsidRPr="005F36B9">
        <w:rPr>
          <w:rFonts w:ascii="Times New Roman" w:hAnsi="Times New Roman"/>
          <w:spacing w:val="-4"/>
          <w:sz w:val="24"/>
          <w:szCs w:val="24"/>
          <w:lang w:val="kk-KZ"/>
        </w:rPr>
        <w:t>Шприцке тартылғаннан кейін дәрілік препарат 2-8 °С температурада 28 күн бойы және бөлме температурасында (30 °С-ден аспайтын) 6 сағат бойы (құтының ішіндегі және шприцтегі жалпы уақыт) шашыраңқы күндізгі жарықта физикалық және химиялық тұрақтылығын сақтайды.</w:t>
      </w:r>
    </w:p>
    <w:p w:rsidR="000E5BCF" w:rsidRPr="005F36B9" w:rsidRDefault="000E5BCF" w:rsidP="000E5BCF">
      <w:pPr>
        <w:pStyle w:val="a7"/>
        <w:jc w:val="both"/>
        <w:rPr>
          <w:rFonts w:ascii="Times New Roman" w:hAnsi="Times New Roman"/>
          <w:spacing w:val="-4"/>
          <w:sz w:val="24"/>
          <w:szCs w:val="24"/>
          <w:lang w:val="kk-KZ"/>
        </w:rPr>
      </w:pPr>
      <w:r w:rsidRPr="005F36B9">
        <w:rPr>
          <w:rFonts w:ascii="Times New Roman" w:hAnsi="Times New Roman"/>
          <w:spacing w:val="-4"/>
          <w:sz w:val="24"/>
          <w:szCs w:val="24"/>
          <w:lang w:val="kk-KZ"/>
        </w:rPr>
        <w:t>[САУДАЛЫҚ АТАУЫ] препаратында микробқа қарсы консерванттар болмағандықтан, микробиологиялық тұрғыдан алғанда, препаратты дереу қолдану керек. Егер препарат дереу пайдаланылмаса, онда енгізуге дайындықты бақыланатын және валидацияланған асептикалық жағдайларда жүзеге асырған жөн. Ерітіндіні шприцке жинағаннан кейін ерітіндінің инеде кебуіне және дәрілік препарат сапасының төмендеуіне жол бермеу мақсатында ерітіндіні тасымалдау үшін пайдаланылған инені шприцтің қорғаныш қалпақшасына ауыстыру ұсынылады. Тері астына инъекция салуға арналған ине тікелей инъекция алдында орнатылады, содан кейін шприцтегі ерітіндінің көлемі 5 мл-ге дейін жеткізіледі.</w:t>
      </w:r>
    </w:p>
    <w:p w:rsidR="00CA17CD" w:rsidRPr="005F36B9" w:rsidRDefault="00CA17CD" w:rsidP="00722F40">
      <w:pPr>
        <w:jc w:val="both"/>
        <w:rPr>
          <w:b/>
          <w:spacing w:val="-4"/>
          <w:lang w:val="kk-KZ"/>
        </w:rPr>
      </w:pPr>
    </w:p>
    <w:p w:rsidR="00707D8A" w:rsidRPr="005F36B9" w:rsidRDefault="000118FC" w:rsidP="00722F40">
      <w:pPr>
        <w:jc w:val="both"/>
        <w:rPr>
          <w:b/>
          <w:spacing w:val="-4"/>
          <w:lang w:val="ru-RU"/>
        </w:rPr>
      </w:pPr>
      <w:r w:rsidRPr="005F36B9">
        <w:rPr>
          <w:b/>
          <w:spacing w:val="-4"/>
          <w:lang w:val="kk-KZ"/>
        </w:rPr>
        <w:lastRenderedPageBreak/>
        <w:t>4.3 Қолдануға болмайтын жағдайлар</w:t>
      </w:r>
    </w:p>
    <w:p w:rsidR="0085394F" w:rsidRPr="005F36B9" w:rsidRDefault="000118FC" w:rsidP="00D8798D">
      <w:pPr>
        <w:pStyle w:val="a6"/>
        <w:numPr>
          <w:ilvl w:val="0"/>
          <w:numId w:val="7"/>
        </w:numPr>
        <w:autoSpaceDE/>
        <w:autoSpaceDN/>
        <w:adjustRightInd/>
        <w:contextualSpacing/>
        <w:jc w:val="both"/>
        <w:rPr>
          <w:spacing w:val="-4"/>
          <w:lang w:val="ru-RU"/>
        </w:rPr>
      </w:pPr>
      <w:r w:rsidRPr="005F36B9">
        <w:rPr>
          <w:spacing w:val="-4"/>
          <w:lang w:val="kk-KZ"/>
        </w:rPr>
        <w:t>трастузумабқа, тышқан ақуыздар</w:t>
      </w:r>
      <w:r w:rsidR="00626173" w:rsidRPr="005F36B9">
        <w:rPr>
          <w:spacing w:val="-4"/>
          <w:lang w:val="kk-KZ"/>
        </w:rPr>
        <w:t xml:space="preserve">ына, гиалуронидазаға немесе 6.1 </w:t>
      </w:r>
      <w:r w:rsidRPr="005F36B9">
        <w:rPr>
          <w:spacing w:val="-4"/>
          <w:lang w:val="kk-KZ"/>
        </w:rPr>
        <w:t>бөлімде атап көрсетілген қосымша заттардың кез келгеніне аса жоғары сезімталдық</w:t>
      </w:r>
    </w:p>
    <w:p w:rsidR="0085394F" w:rsidRPr="005F36B9" w:rsidRDefault="000118FC" w:rsidP="00D8798D">
      <w:pPr>
        <w:pStyle w:val="a6"/>
        <w:numPr>
          <w:ilvl w:val="0"/>
          <w:numId w:val="7"/>
        </w:numPr>
        <w:autoSpaceDE/>
        <w:autoSpaceDN/>
        <w:adjustRightInd/>
        <w:contextualSpacing/>
        <w:jc w:val="both"/>
        <w:rPr>
          <w:spacing w:val="-4"/>
          <w:lang w:val="ru-RU"/>
        </w:rPr>
      </w:pPr>
      <w:r w:rsidRPr="005F36B9">
        <w:rPr>
          <w:spacing w:val="-4"/>
          <w:lang w:val="kk-KZ"/>
        </w:rPr>
        <w:t>үдемелі қатерлі жаңа түзілімнің асқынуынан туындаған немесе оттегімен демеуші ем жүргізуді талап ететін тыныш күйдегі ауыр ентігу.</w:t>
      </w:r>
    </w:p>
    <w:p w:rsidR="00D15255" w:rsidRPr="005F36B9" w:rsidRDefault="00D15255" w:rsidP="00EA035C">
      <w:pPr>
        <w:pStyle w:val="a6"/>
        <w:autoSpaceDE/>
        <w:autoSpaceDN/>
        <w:adjustRightInd/>
        <w:ind w:left="720"/>
        <w:contextualSpacing/>
        <w:jc w:val="both"/>
        <w:rPr>
          <w:spacing w:val="-4"/>
          <w:lang w:val="ru-RU"/>
        </w:rPr>
      </w:pPr>
    </w:p>
    <w:p w:rsidR="00707D8A" w:rsidRPr="005F36B9" w:rsidRDefault="000118FC" w:rsidP="00722F40">
      <w:pPr>
        <w:jc w:val="both"/>
        <w:rPr>
          <w:b/>
          <w:spacing w:val="-4"/>
          <w:lang w:val="ru-RU"/>
        </w:rPr>
      </w:pPr>
      <w:r w:rsidRPr="005F36B9">
        <w:rPr>
          <w:b/>
          <w:spacing w:val="-4"/>
          <w:lang w:val="kk-KZ"/>
        </w:rPr>
        <w:t>4.4 Айрықша нұсқаулар және қолдану кезіндегі сақтық шаралары</w:t>
      </w:r>
    </w:p>
    <w:p w:rsidR="0085394F" w:rsidRPr="005F36B9" w:rsidRDefault="000118FC" w:rsidP="0085394F">
      <w:pPr>
        <w:jc w:val="both"/>
        <w:rPr>
          <w:spacing w:val="-4"/>
          <w:u w:val="single"/>
          <w:lang w:val="ru-RU"/>
        </w:rPr>
      </w:pPr>
      <w:r w:rsidRPr="005F36B9">
        <w:rPr>
          <w:spacing w:val="-4"/>
          <w:u w:val="single"/>
          <w:lang w:val="kk-KZ"/>
        </w:rPr>
        <w:t>Қадағалануы</w:t>
      </w:r>
    </w:p>
    <w:p w:rsidR="0085394F" w:rsidRPr="005F36B9" w:rsidRDefault="000118FC" w:rsidP="0085394F">
      <w:pPr>
        <w:jc w:val="both"/>
        <w:rPr>
          <w:spacing w:val="-4"/>
          <w:lang w:val="ru-RU"/>
        </w:rPr>
      </w:pPr>
      <w:r w:rsidRPr="005F36B9">
        <w:rPr>
          <w:spacing w:val="-4"/>
          <w:lang w:val="kk-KZ"/>
        </w:rPr>
        <w:t>Пациенттің медициналық құжаттамасында биологиялық дәрілік препараттардың қолданылуын қадағалауды жақсарту мақсатында енгізілетін препараттың саудалық атауын және серия нөмірін нақты көрсету керек.</w:t>
      </w:r>
    </w:p>
    <w:p w:rsidR="00DB0943" w:rsidRPr="005F36B9" w:rsidRDefault="000118FC" w:rsidP="0085394F">
      <w:pPr>
        <w:jc w:val="both"/>
        <w:rPr>
          <w:spacing w:val="-4"/>
          <w:lang w:val="ru-RU"/>
        </w:rPr>
      </w:pPr>
      <w:r w:rsidRPr="005F36B9">
        <w:rPr>
          <w:spacing w:val="-4"/>
          <w:lang w:val="kk-KZ"/>
        </w:rPr>
        <w:t>HER2 статусын анықтау тестілеу емшараларының сапасын т</w:t>
      </w:r>
      <w:r w:rsidR="006356FE" w:rsidRPr="005F36B9">
        <w:rPr>
          <w:spacing w:val="-4"/>
          <w:lang w:val="kk-KZ"/>
        </w:rPr>
        <w:t>иісті бақылануын қамтамасыз ете алатын</w:t>
      </w:r>
      <w:r w:rsidRPr="005F36B9">
        <w:rPr>
          <w:spacing w:val="-4"/>
          <w:lang w:val="kk-KZ"/>
        </w:rPr>
        <w:t xml:space="preserve"> мамандандырылған з</w:t>
      </w:r>
      <w:r w:rsidR="00626173" w:rsidRPr="005F36B9">
        <w:rPr>
          <w:spacing w:val="-4"/>
          <w:lang w:val="kk-KZ"/>
        </w:rPr>
        <w:t xml:space="preserve">ертханада жүргізілуі керек (5.1 </w:t>
      </w:r>
      <w:r w:rsidRPr="005F36B9">
        <w:rPr>
          <w:spacing w:val="-4"/>
          <w:lang w:val="kk-KZ"/>
        </w:rPr>
        <w:t>бөлімді қараңыз).</w:t>
      </w:r>
    </w:p>
    <w:p w:rsidR="0085394F" w:rsidRPr="005F36B9" w:rsidRDefault="000118FC" w:rsidP="0085394F">
      <w:pPr>
        <w:jc w:val="both"/>
        <w:rPr>
          <w:spacing w:val="-4"/>
          <w:lang w:val="ru-RU"/>
        </w:rPr>
      </w:pPr>
      <w:r w:rsidRPr="005F36B9">
        <w:rPr>
          <w:spacing w:val="-4"/>
          <w:lang w:val="kk-KZ"/>
        </w:rPr>
        <w:t xml:space="preserve">Қазіргі уақытта адъювантты режимде </w:t>
      </w:r>
      <w:r w:rsidR="00F43D00" w:rsidRPr="005F36B9">
        <w:rPr>
          <w:spacing w:val="-4"/>
          <w:lang w:val="kk-KZ"/>
        </w:rPr>
        <w:t>трастузумабты</w:t>
      </w:r>
      <w:r w:rsidRPr="005F36B9">
        <w:rPr>
          <w:spacing w:val="-4"/>
          <w:lang w:val="kk-KZ"/>
        </w:rPr>
        <w:t xml:space="preserve"> алып үлгерген пациенттерді қайта емдеу туралы деректер жоқ.</w:t>
      </w:r>
    </w:p>
    <w:p w:rsidR="0085394F" w:rsidRPr="005F36B9" w:rsidRDefault="000118FC" w:rsidP="0085394F">
      <w:pPr>
        <w:jc w:val="both"/>
        <w:rPr>
          <w:spacing w:val="-4"/>
          <w:u w:val="single"/>
          <w:lang w:val="ru-RU"/>
        </w:rPr>
      </w:pPr>
      <w:r w:rsidRPr="005F36B9">
        <w:rPr>
          <w:spacing w:val="-4"/>
          <w:u w:val="single"/>
          <w:lang w:val="kk-KZ"/>
        </w:rPr>
        <w:t>Жүрек дисфункциясы</w:t>
      </w:r>
    </w:p>
    <w:p w:rsidR="0085394F" w:rsidRPr="005F36B9" w:rsidRDefault="000118FC" w:rsidP="0085394F">
      <w:pPr>
        <w:jc w:val="both"/>
        <w:rPr>
          <w:i/>
          <w:spacing w:val="-4"/>
          <w:u w:val="single"/>
          <w:lang w:val="ru-RU"/>
        </w:rPr>
      </w:pPr>
      <w:r w:rsidRPr="005F36B9">
        <w:rPr>
          <w:i/>
          <w:spacing w:val="-4"/>
          <w:u w:val="single"/>
          <w:lang w:val="kk-KZ"/>
        </w:rPr>
        <w:t>Жалпы ақпарат</w:t>
      </w:r>
    </w:p>
    <w:p w:rsidR="0085394F" w:rsidRPr="005F36B9" w:rsidRDefault="0050122F" w:rsidP="0085394F">
      <w:pPr>
        <w:jc w:val="both"/>
        <w:rPr>
          <w:spacing w:val="-4"/>
          <w:lang w:val="kk-KZ"/>
        </w:rPr>
      </w:pPr>
      <w:r w:rsidRPr="005F36B9">
        <w:rPr>
          <w:spacing w:val="-4"/>
          <w:lang w:val="kk-KZ"/>
        </w:rPr>
        <w:t>[САУДАЛЫҚ АТАУЫ]</w:t>
      </w:r>
      <w:r w:rsidR="000118FC" w:rsidRPr="005F36B9">
        <w:rPr>
          <w:spacing w:val="-4"/>
          <w:lang w:val="kk-KZ"/>
        </w:rPr>
        <w:t xml:space="preserve"> препаратын қабылдайтын пациенттер іркілісті жүрек жеткіліксіздігі (ІЖЖ) (Нью-Йорк кардиологиялық қауымдастығының [NYHA] жіктеуі бойынша II-IV функционалды класы) немесе жүректің симптомсыз дисфункциясының даму қаупінің жоғарылауына бейім болады. Осыған ұқсас құбылыстар </w:t>
      </w:r>
      <w:r w:rsidR="00F43D00" w:rsidRPr="005F36B9">
        <w:rPr>
          <w:spacing w:val="-4"/>
          <w:lang w:val="kk-KZ"/>
        </w:rPr>
        <w:t>трастузумабты</w:t>
      </w:r>
      <w:r w:rsidR="000118FC" w:rsidRPr="005F36B9">
        <w:rPr>
          <w:spacing w:val="-4"/>
          <w:lang w:val="kk-KZ"/>
        </w:rPr>
        <w:t xml:space="preserve"> монотерапия ретінде немесе паклитакселмен немесе доцетакселмен біріктірілген ем қабылдаған пациенттерде, әсіресе антрациклині бар препараттармен (доксорубицин немесе эпирубицин) химиотерапиядан кейін байқалды. Бұл құбылыстардың ауырлығы орташадан ауыр дәрежеге дейін өзгеруі мүмкін жән</w:t>
      </w:r>
      <w:r w:rsidR="001A2D0D" w:rsidRPr="005F36B9">
        <w:rPr>
          <w:spacing w:val="-4"/>
          <w:lang w:val="kk-KZ"/>
        </w:rPr>
        <w:t xml:space="preserve">е өлімге әкеп соғуы мүмкін (4.8 </w:t>
      </w:r>
      <w:r w:rsidR="000118FC" w:rsidRPr="005F36B9">
        <w:rPr>
          <w:spacing w:val="-4"/>
          <w:lang w:val="kk-KZ"/>
        </w:rPr>
        <w:t xml:space="preserve">бөлімді қараңыз). Бұдан басқа, жүрек-қантамыр қаупі жоғары (мысалы, артериялық гипертензия, құжатпен расталған жүректің ишемиялық ауруы, іркілісті жүрек жеткіліксіздігі, СҚЛФ &lt;55%, егде жастағы) пациенттерді емдеу кезінде </w:t>
      </w:r>
      <w:r w:rsidR="00091311" w:rsidRPr="005F36B9">
        <w:rPr>
          <w:spacing w:val="-4"/>
          <w:lang w:val="kk-KZ"/>
        </w:rPr>
        <w:t xml:space="preserve">сақ </w:t>
      </w:r>
      <w:r w:rsidR="00EE5761" w:rsidRPr="005F36B9">
        <w:rPr>
          <w:spacing w:val="-4"/>
          <w:lang w:val="kk-KZ"/>
        </w:rPr>
        <w:t>болу қажет.</w:t>
      </w:r>
    </w:p>
    <w:p w:rsidR="0085394F" w:rsidRPr="005F36B9" w:rsidRDefault="0050122F" w:rsidP="0085394F">
      <w:pPr>
        <w:jc w:val="both"/>
        <w:rPr>
          <w:spacing w:val="-4"/>
          <w:lang w:val="kk-KZ"/>
        </w:rPr>
      </w:pPr>
      <w:r w:rsidRPr="005F36B9">
        <w:rPr>
          <w:spacing w:val="-4"/>
          <w:lang w:val="kk-KZ"/>
        </w:rPr>
        <w:t>[САУДАЛЫҚ АТАУЫ]</w:t>
      </w:r>
      <w:r w:rsidR="000118FC" w:rsidRPr="005F36B9">
        <w:rPr>
          <w:spacing w:val="-4"/>
          <w:lang w:val="kk-KZ"/>
        </w:rPr>
        <w:t xml:space="preserve"> препаратымен ем қабылдауға барлық үміткерлер, әсіресе бұрын антрациклин қатарындағы және циклофосфамид препараттарын алған үміткерлер емді бастар алдында анамнез жинауды және физикалық тексеруді, электрокардиографияны (ЭКГ), эхокардиографияны және/немесе радионуклидті вентрикулографияны (MUGA) немесе магнитті-резонансты томографияны (МРТ) қоса алғанда, кардиологиялық қарап-тексеруден өтуі тиіс. Мониторинг жүргізу жүрек дисфункциясы дамыған пациенттерді анықтауға көмектеседі. Кардиологиялық тексеруді ем жүргізу кезінде әрбір 3 ай сайын және ем аяқталғаннан кейін әрбір 6 ай сайын, </w:t>
      </w:r>
      <w:r w:rsidRPr="005F36B9">
        <w:rPr>
          <w:spacing w:val="-4"/>
          <w:lang w:val="kk-KZ"/>
        </w:rPr>
        <w:t>[САУДАЛЫҚ АТАУЫ]</w:t>
      </w:r>
      <w:r w:rsidR="000118FC" w:rsidRPr="005F36B9">
        <w:rPr>
          <w:spacing w:val="-4"/>
          <w:lang w:val="kk-KZ"/>
        </w:rPr>
        <w:t xml:space="preserve"> препаратының соңғы дозасын енгізген сәттен бастап 24 ай бойы қайталау керек. </w:t>
      </w:r>
      <w:r w:rsidRPr="005F36B9">
        <w:rPr>
          <w:spacing w:val="-4"/>
          <w:lang w:val="kk-KZ"/>
        </w:rPr>
        <w:t>[САУДАЛЫҚ АТАУЫ]</w:t>
      </w:r>
      <w:r w:rsidR="000118FC" w:rsidRPr="005F36B9">
        <w:rPr>
          <w:spacing w:val="-4"/>
          <w:lang w:val="kk-KZ"/>
        </w:rPr>
        <w:t xml:space="preserve"> препаратымен емдеуді тағайындау туралы шешім "қауіп-пайда" арақатынасын мұқият бағалауға негізделуі тиіс.</w:t>
      </w:r>
    </w:p>
    <w:p w:rsidR="0085394F" w:rsidRPr="005F36B9" w:rsidRDefault="000118FC" w:rsidP="0085394F">
      <w:pPr>
        <w:jc w:val="both"/>
        <w:rPr>
          <w:spacing w:val="-4"/>
          <w:lang w:val="kk-KZ"/>
        </w:rPr>
      </w:pPr>
      <w:r w:rsidRPr="005F36B9">
        <w:rPr>
          <w:spacing w:val="-4"/>
          <w:lang w:val="kk-KZ"/>
        </w:rPr>
        <w:t xml:space="preserve">Барлық қолда бар деректерді популяциялық фармакокинетикалық талдау нәтижелері бойынша трастузумаб </w:t>
      </w:r>
      <w:r w:rsidR="0050122F" w:rsidRPr="005F36B9">
        <w:rPr>
          <w:spacing w:val="-4"/>
          <w:lang w:val="kk-KZ"/>
        </w:rPr>
        <w:t>[САУДАЛЫҚ АТАУЫ]</w:t>
      </w:r>
      <w:r w:rsidRPr="005F36B9">
        <w:rPr>
          <w:spacing w:val="-4"/>
          <w:lang w:val="kk-KZ"/>
        </w:rPr>
        <w:t xml:space="preserve"> препаратымен ем</w:t>
      </w:r>
      <w:r w:rsidR="00A7651C" w:rsidRPr="005F36B9">
        <w:rPr>
          <w:spacing w:val="-4"/>
          <w:lang w:val="kk-KZ"/>
        </w:rPr>
        <w:t xml:space="preserve"> </w:t>
      </w:r>
      <w:r w:rsidRPr="005F36B9">
        <w:rPr>
          <w:spacing w:val="-4"/>
          <w:lang w:val="kk-KZ"/>
        </w:rPr>
        <w:t>аяқталғаннан кейін 7 айға дейін қанда қалуы мүмкін (5.2</w:t>
      </w:r>
      <w:r w:rsidR="00571400" w:rsidRPr="005F36B9">
        <w:rPr>
          <w:spacing w:val="-4"/>
          <w:lang w:val="kk-KZ"/>
        </w:rPr>
        <w:t xml:space="preserve"> </w:t>
      </w:r>
      <w:r w:rsidRPr="005F36B9">
        <w:rPr>
          <w:spacing w:val="-4"/>
          <w:lang w:val="kk-KZ"/>
        </w:rPr>
        <w:t xml:space="preserve">бөлімді қараңыз). </w:t>
      </w:r>
      <w:r w:rsidR="0050122F" w:rsidRPr="005F36B9">
        <w:rPr>
          <w:spacing w:val="-4"/>
          <w:lang w:val="kk-KZ"/>
        </w:rPr>
        <w:t>[САУДАЛЫҚ АТАУЫ]</w:t>
      </w:r>
      <w:r w:rsidRPr="005F36B9">
        <w:rPr>
          <w:spacing w:val="-4"/>
          <w:lang w:val="kk-KZ"/>
        </w:rPr>
        <w:t xml:space="preserve"> препаратымен </w:t>
      </w:r>
      <w:r w:rsidR="00A7651C" w:rsidRPr="005F36B9">
        <w:rPr>
          <w:spacing w:val="-4"/>
          <w:lang w:val="kk-KZ"/>
        </w:rPr>
        <w:t xml:space="preserve">ем аяқталғаннан </w:t>
      </w:r>
      <w:r w:rsidRPr="005F36B9">
        <w:rPr>
          <w:spacing w:val="-4"/>
          <w:lang w:val="kk-KZ"/>
        </w:rPr>
        <w:t xml:space="preserve">кейін антрациклиндер қабылдайтын пациенттер жүрек дисфункциясының жоғары қаупіне ұшырауы мүмкін. Мүмкіндігінше, </w:t>
      </w:r>
      <w:r w:rsidR="0050122F" w:rsidRPr="005F36B9">
        <w:rPr>
          <w:spacing w:val="-4"/>
          <w:lang w:val="kk-KZ"/>
        </w:rPr>
        <w:t>[САУДАЛЫҚ АТАУЫ]</w:t>
      </w:r>
      <w:r w:rsidRPr="005F36B9">
        <w:rPr>
          <w:spacing w:val="-4"/>
          <w:lang w:val="kk-KZ"/>
        </w:rPr>
        <w:t xml:space="preserve"> препаратымен </w:t>
      </w:r>
      <w:r w:rsidR="00A7651C" w:rsidRPr="005F36B9">
        <w:rPr>
          <w:spacing w:val="-4"/>
          <w:lang w:val="kk-KZ"/>
        </w:rPr>
        <w:t xml:space="preserve">ем аяқталғаннан </w:t>
      </w:r>
      <w:r w:rsidRPr="005F36B9">
        <w:rPr>
          <w:spacing w:val="-4"/>
          <w:lang w:val="kk-KZ"/>
        </w:rPr>
        <w:t>кейін 7 ай ішінде антрациклиндерді тағайындаудан аулақ болу керек. Антрациклин қатарындағы препараттарды қолданғанда жүрек функциясына мұқият мониторинг</w:t>
      </w:r>
      <w:r w:rsidR="008363C6" w:rsidRPr="005F36B9">
        <w:rPr>
          <w:spacing w:val="-4"/>
          <w:lang w:val="kk-KZ"/>
        </w:rPr>
        <w:t>ті</w:t>
      </w:r>
      <w:r w:rsidRPr="005F36B9">
        <w:rPr>
          <w:spacing w:val="-4"/>
          <w:lang w:val="kk-KZ"/>
        </w:rPr>
        <w:t xml:space="preserve"> жүргізу керек.</w:t>
      </w:r>
    </w:p>
    <w:p w:rsidR="0056494F" w:rsidRPr="005F36B9" w:rsidRDefault="000118FC" w:rsidP="0085394F">
      <w:pPr>
        <w:jc w:val="both"/>
        <w:rPr>
          <w:spacing w:val="-4"/>
          <w:lang w:val="kk-KZ"/>
        </w:rPr>
      </w:pPr>
      <w:r w:rsidRPr="005F36B9">
        <w:rPr>
          <w:spacing w:val="-4"/>
          <w:lang w:val="kk-KZ"/>
        </w:rPr>
        <w:t xml:space="preserve">Емдеуді бастар алдында скрининг барысында анықталған жүрек-қантамыр ауруларына күмән туындаған пациенттерге стандартты кардиологиялық қарап-тексеру жүргізу қажеттілігін бағалау керек. Емдеу кезінде барлық пациенттердің жүрек функциясын бақылау керек (мысалы, әр 12 апта сайын). Мониторинг нәтижесінде жүрек дисфункциясы дамыған пациенттерді анықтауға болады. Жүректің симптомсыз дисфункциясы бар </w:t>
      </w:r>
      <w:r w:rsidR="004E6E6B" w:rsidRPr="005F36B9">
        <w:rPr>
          <w:spacing w:val="-4"/>
          <w:lang w:val="kk-KZ"/>
        </w:rPr>
        <w:lastRenderedPageBreak/>
        <w:t>пациенттерді</w:t>
      </w:r>
      <w:r w:rsidRPr="005F36B9">
        <w:rPr>
          <w:spacing w:val="-4"/>
          <w:lang w:val="kk-KZ"/>
        </w:rPr>
        <w:t xml:space="preserve"> анағұрлым жиі бақылау (мысалы, әр 6-8 апта сайын) қажет болуы мүмкін. Сол жақ қарынша функциясы одан әрі наш</w:t>
      </w:r>
      <w:r w:rsidR="000A690E" w:rsidRPr="005F36B9">
        <w:rPr>
          <w:spacing w:val="-4"/>
          <w:lang w:val="kk-KZ"/>
        </w:rPr>
        <w:t xml:space="preserve">арлаған кезде, бірақ симптомдар </w:t>
      </w:r>
      <w:r w:rsidRPr="005F36B9">
        <w:rPr>
          <w:spacing w:val="-4"/>
          <w:lang w:val="kk-KZ"/>
        </w:rPr>
        <w:t xml:space="preserve">болмағанда, </w:t>
      </w:r>
      <w:r w:rsidR="000A690E" w:rsidRPr="005F36B9">
        <w:rPr>
          <w:spacing w:val="-4"/>
          <w:lang w:val="kk-KZ"/>
        </w:rPr>
        <w:t xml:space="preserve"> </w:t>
      </w:r>
      <w:r w:rsidRPr="005F36B9">
        <w:rPr>
          <w:spacing w:val="-4"/>
          <w:lang w:val="kk-KZ"/>
        </w:rPr>
        <w:t xml:space="preserve"> оны қолданудың клиникалық пайдасы болмаса, </w:t>
      </w:r>
      <w:r w:rsidR="0050122F" w:rsidRPr="005F36B9">
        <w:rPr>
          <w:spacing w:val="-4"/>
          <w:lang w:val="kk-KZ"/>
        </w:rPr>
        <w:t>[САУДАЛЫҚ АТАУЫ]</w:t>
      </w:r>
      <w:r w:rsidRPr="005F36B9">
        <w:rPr>
          <w:spacing w:val="-4"/>
          <w:lang w:val="kk-KZ"/>
        </w:rPr>
        <w:t xml:space="preserve"> препаратымен емдеуді тоқтату туралы мәселені қарастыру керек. </w:t>
      </w:r>
    </w:p>
    <w:p w:rsidR="00BB39F8" w:rsidRPr="005F36B9" w:rsidRDefault="000118FC" w:rsidP="0085394F">
      <w:pPr>
        <w:jc w:val="both"/>
        <w:rPr>
          <w:spacing w:val="-4"/>
          <w:lang w:val="kk-KZ"/>
        </w:rPr>
      </w:pPr>
      <w:r w:rsidRPr="005F36B9">
        <w:rPr>
          <w:spacing w:val="-4"/>
          <w:lang w:val="kk-KZ"/>
        </w:rPr>
        <w:t xml:space="preserve">Жүрек дисфункциясына шалдыққан пациенттерде </w:t>
      </w:r>
      <w:r w:rsidR="0050122F" w:rsidRPr="005F36B9">
        <w:rPr>
          <w:spacing w:val="-4"/>
          <w:lang w:val="kk-KZ"/>
        </w:rPr>
        <w:t>[САУДАЛЫҚ АТАУЫ]</w:t>
      </w:r>
      <w:r w:rsidRPr="005F36B9">
        <w:rPr>
          <w:spacing w:val="-4"/>
          <w:lang w:val="kk-KZ"/>
        </w:rPr>
        <w:t xml:space="preserve"> препаратымен емдеуді жалғастыру немесе қалпына келтіру қауіпсіздігі проспективті түрде зерттелмеген. Егер СҚЛФ, (%) бастапқы деңгейден ≥10 тармаққа</w:t>
      </w:r>
      <w:r w:rsidR="000A690E" w:rsidRPr="005F36B9">
        <w:rPr>
          <w:spacing w:val="-4"/>
          <w:lang w:val="kk-KZ"/>
        </w:rPr>
        <w:t xml:space="preserve"> </w:t>
      </w:r>
      <w:r w:rsidRPr="005F36B9">
        <w:rPr>
          <w:spacing w:val="-4"/>
          <w:lang w:val="kk-KZ"/>
        </w:rPr>
        <w:t>түссе және 50% мәнінен төмен болса, емдеуді уақытша тоқтатып, шамамен 3 аптадан кейін</w:t>
      </w:r>
      <w:r w:rsidR="000A690E" w:rsidRPr="005F36B9">
        <w:rPr>
          <w:spacing w:val="-4"/>
          <w:lang w:val="kk-KZ"/>
        </w:rPr>
        <w:t xml:space="preserve"> </w:t>
      </w:r>
      <w:r w:rsidRPr="005F36B9">
        <w:rPr>
          <w:spacing w:val="-4"/>
          <w:lang w:val="kk-KZ"/>
        </w:rPr>
        <w:t xml:space="preserve">СҚЛФ қайта бағалауды жүргізу қажет. СҚЛФ көрсеткішінің жақсаруы немесе оның одан әрі төмендеуі болмаған кезде немесе ІЖЖ симптомдары дамығанда нақты пациент үшін пайдасы қауіптерден асып түсетін жағдайларды қоспағанда, </w:t>
      </w:r>
      <w:r w:rsidR="0050122F" w:rsidRPr="005F36B9">
        <w:rPr>
          <w:spacing w:val="-4"/>
          <w:lang w:val="kk-KZ"/>
        </w:rPr>
        <w:t>[САУДАЛЫҚ АТАУЫ]</w:t>
      </w:r>
      <w:r w:rsidRPr="005F36B9">
        <w:rPr>
          <w:spacing w:val="-4"/>
          <w:lang w:val="kk-KZ"/>
        </w:rPr>
        <w:t xml:space="preserve"> препаратымен емдеуді тоқтату туралы мәселені қарау қажет. Барлық осы пациенттерді қарап-тексеру және кейінгі бақылау үшін кардиологқа жіберу қажет.</w:t>
      </w:r>
    </w:p>
    <w:p w:rsidR="0085394F" w:rsidRPr="005F36B9" w:rsidRDefault="0050122F" w:rsidP="0085394F">
      <w:pPr>
        <w:jc w:val="both"/>
        <w:rPr>
          <w:spacing w:val="-4"/>
          <w:lang w:val="kk-KZ"/>
        </w:rPr>
      </w:pPr>
      <w:r w:rsidRPr="005F36B9">
        <w:rPr>
          <w:spacing w:val="-4"/>
          <w:lang w:val="kk-KZ"/>
        </w:rPr>
        <w:t>[САУДАЛЫҚ АТАУЫ]</w:t>
      </w:r>
      <w:r w:rsidR="000118FC" w:rsidRPr="005F36B9">
        <w:rPr>
          <w:spacing w:val="-4"/>
          <w:lang w:val="kk-KZ"/>
        </w:rPr>
        <w:t xml:space="preserve"> препаратымен емдеу кезінде симптоматикалық жүрек жеткіліксіздігі дамыған жағдайда ІЖЖ стандартты дәрі-дәрмектік ем жүргізу қажет. Базалық клиникалық зерттеулерде ІЖЖ немесе жүректің симптомсыз дисфункциясы дамыған пациенттердің көпшілігінде ангиотензин-өзгертетін фермент (АӨФ) тежегіштерін немесе ангиотензин рецепторларының блокаторларын (АРБ) және бета-блокаторларды қолдануды қамтитын ІЖЖ стандартты дәрі-дәрмекпен емдеу аясында жай-күйдің жақсаруы байқалды. </w:t>
      </w:r>
      <w:r w:rsidR="0089784A" w:rsidRPr="005F36B9">
        <w:rPr>
          <w:spacing w:val="-4"/>
          <w:lang w:val="kk-KZ"/>
        </w:rPr>
        <w:t>Т</w:t>
      </w:r>
      <w:r w:rsidR="0089784A" w:rsidRPr="005F36B9">
        <w:rPr>
          <w:spacing w:val="-4"/>
          <w:lang w:val="kk-KZ"/>
        </w:rPr>
        <w:t>растузумаб</w:t>
      </w:r>
      <w:r w:rsidR="0089784A" w:rsidRPr="005F36B9">
        <w:rPr>
          <w:spacing w:val="-4"/>
          <w:lang w:val="kk-KZ"/>
        </w:rPr>
        <w:t xml:space="preserve"> </w:t>
      </w:r>
      <w:r w:rsidR="000118FC" w:rsidRPr="005F36B9">
        <w:rPr>
          <w:spacing w:val="-4"/>
          <w:lang w:val="kk-KZ"/>
        </w:rPr>
        <w:t>қолданудан клиникалық пайда болған кезде жүрек тарапынан симптомдары бар пациенттердің көпшілігі қосымша клиникалық маңызды кардиологиялық оқиғаларсыз емдеуді жалғастырды.</w:t>
      </w:r>
    </w:p>
    <w:p w:rsidR="0085394F" w:rsidRPr="005F36B9" w:rsidRDefault="000118FC" w:rsidP="0085394F">
      <w:pPr>
        <w:jc w:val="both"/>
        <w:rPr>
          <w:i/>
          <w:spacing w:val="-4"/>
          <w:u w:val="single"/>
          <w:lang w:val="kk-KZ"/>
        </w:rPr>
      </w:pPr>
      <w:r w:rsidRPr="005F36B9">
        <w:rPr>
          <w:i/>
          <w:spacing w:val="-4"/>
          <w:u w:val="single"/>
          <w:lang w:val="kk-KZ"/>
        </w:rPr>
        <w:t>Сүт безінің метастаздық обыры</w:t>
      </w:r>
    </w:p>
    <w:p w:rsidR="0085394F" w:rsidRPr="005F36B9" w:rsidRDefault="000118FC" w:rsidP="0085394F">
      <w:pPr>
        <w:jc w:val="both"/>
        <w:rPr>
          <w:rFonts w:ascii="Arial" w:hAnsi="Arial" w:cs="Arial"/>
          <w:spacing w:val="-4"/>
          <w:lang w:val="kk-KZ"/>
        </w:rPr>
      </w:pPr>
      <w:r w:rsidRPr="005F36B9">
        <w:rPr>
          <w:spacing w:val="-4"/>
          <w:lang w:val="kk-KZ"/>
        </w:rPr>
        <w:t xml:space="preserve">Сүт безінің метастаздық обырын (СБмО) емдеу үшін </w:t>
      </w:r>
      <w:r w:rsidR="0050122F" w:rsidRPr="005F36B9">
        <w:rPr>
          <w:spacing w:val="-4"/>
          <w:lang w:val="kk-KZ"/>
        </w:rPr>
        <w:t>[САУДАЛЫҚ АТАУЫ]</w:t>
      </w:r>
      <w:r w:rsidRPr="005F36B9">
        <w:rPr>
          <w:spacing w:val="-4"/>
          <w:lang w:val="kk-KZ"/>
        </w:rPr>
        <w:t xml:space="preserve"> препаратын антрациклиндермен біріктіріп тағайындау ұсынылмайды. Бұрын антрациклиндер қабылдаған СБмО-ға шалдыққан пациенттер де </w:t>
      </w:r>
      <w:r w:rsidR="0050122F" w:rsidRPr="005F36B9">
        <w:rPr>
          <w:spacing w:val="-4"/>
          <w:lang w:val="kk-KZ"/>
        </w:rPr>
        <w:t>[САУДАЛЫҚ АТАУЫ]</w:t>
      </w:r>
      <w:r w:rsidRPr="005F36B9">
        <w:rPr>
          <w:spacing w:val="-4"/>
          <w:lang w:val="kk-KZ"/>
        </w:rPr>
        <w:t xml:space="preserve"> препаратымен емдеу кезінде жүрек функциясының бұзылу қаупіне бейім болады, алайда бұл жағдайда </w:t>
      </w:r>
      <w:r w:rsidR="0050122F" w:rsidRPr="005F36B9">
        <w:rPr>
          <w:spacing w:val="-4"/>
          <w:lang w:val="kk-KZ"/>
        </w:rPr>
        <w:t>[САУДАЛЫҚ АТАУЫ]</w:t>
      </w:r>
      <w:r w:rsidRPr="005F36B9">
        <w:rPr>
          <w:spacing w:val="-4"/>
          <w:lang w:val="kk-KZ"/>
        </w:rPr>
        <w:t xml:space="preserve"> препараты мен антрациклиндерді бір мезгілде қолданғанға қарағанда, қауіп төмен болады.</w:t>
      </w:r>
    </w:p>
    <w:p w:rsidR="00A074B9" w:rsidRPr="005F36B9" w:rsidRDefault="000118FC" w:rsidP="0085394F">
      <w:pPr>
        <w:jc w:val="both"/>
        <w:rPr>
          <w:i/>
          <w:spacing w:val="-4"/>
          <w:u w:val="single"/>
          <w:lang w:val="kk-KZ"/>
        </w:rPr>
      </w:pPr>
      <w:r w:rsidRPr="005F36B9">
        <w:rPr>
          <w:i/>
          <w:spacing w:val="-4"/>
          <w:u w:val="single"/>
          <w:lang w:val="kk-KZ"/>
        </w:rPr>
        <w:t>Сүт безінің ерте обыры</w:t>
      </w:r>
    </w:p>
    <w:p w:rsidR="0085394F" w:rsidRPr="005F36B9" w:rsidRDefault="000118FC" w:rsidP="0085394F">
      <w:pPr>
        <w:jc w:val="both"/>
        <w:rPr>
          <w:color w:val="FF0000"/>
          <w:spacing w:val="-4"/>
          <w:lang w:val="kk-KZ"/>
        </w:rPr>
      </w:pPr>
      <w:r w:rsidRPr="005F36B9">
        <w:rPr>
          <w:spacing w:val="-4"/>
          <w:lang w:val="kk-KZ"/>
        </w:rPr>
        <w:t xml:space="preserve">СБеО-ға шалдыққан пациенттерді кардиологиялық тексеруді емдеуді бастар алдында, емдеу кезінде әрбір 3 ай сайын және ол аяқталғаннан кейін әрбір 6 ай сайын, </w:t>
      </w:r>
      <w:r w:rsidR="0050122F" w:rsidRPr="005F36B9">
        <w:rPr>
          <w:spacing w:val="-4"/>
          <w:lang w:val="kk-KZ"/>
        </w:rPr>
        <w:t>[САУДАЛЫҚ АТАУЫ]</w:t>
      </w:r>
      <w:r w:rsidRPr="005F36B9">
        <w:rPr>
          <w:spacing w:val="-4"/>
          <w:lang w:val="kk-KZ"/>
        </w:rPr>
        <w:t xml:space="preserve"> препаратының соңғы дозасын енгізген сәттен бастап 24 ай бойы жүргізген жөн. Құрамында антрациклині бар химиотерапияны алатын пациенттерде </w:t>
      </w:r>
      <w:r w:rsidR="0050122F" w:rsidRPr="005F36B9">
        <w:rPr>
          <w:spacing w:val="-4"/>
          <w:lang w:val="kk-KZ"/>
        </w:rPr>
        <w:t>[САУДАЛЫҚ АТАУЫ]</w:t>
      </w:r>
      <w:r w:rsidRPr="005F36B9">
        <w:rPr>
          <w:spacing w:val="-4"/>
          <w:lang w:val="kk-KZ"/>
        </w:rPr>
        <w:t xml:space="preserve"> препаратының соңғы дозасын енгізген сәттен бастап 5 жыл ішінде жылына 1 рет тексеру жиілігімен немесе СҚЛФ тұрақты төмендеуі байқалса,</w:t>
      </w:r>
      <w:r w:rsidR="0040179E" w:rsidRPr="005F36B9">
        <w:rPr>
          <w:spacing w:val="-4"/>
          <w:lang w:val="kk-KZ"/>
        </w:rPr>
        <w:t xml:space="preserve"> одан да</w:t>
      </w:r>
      <w:r w:rsidRPr="005F36B9">
        <w:rPr>
          <w:spacing w:val="-4"/>
          <w:lang w:val="kk-KZ"/>
        </w:rPr>
        <w:t xml:space="preserve"> ұзағырақ бақылау ұсынылады.</w:t>
      </w:r>
    </w:p>
    <w:p w:rsidR="0085394F" w:rsidRPr="005F36B9" w:rsidRDefault="000118FC" w:rsidP="0085394F">
      <w:pPr>
        <w:jc w:val="both"/>
        <w:rPr>
          <w:spacing w:val="-4"/>
          <w:lang w:val="kk-KZ"/>
        </w:rPr>
      </w:pPr>
      <w:r w:rsidRPr="005F36B9">
        <w:rPr>
          <w:spacing w:val="-4"/>
          <w:lang w:val="kk-KZ"/>
        </w:rPr>
        <w:t xml:space="preserve">Анамнезінде миокард инфарктісі, дәрі-дәрмекпен емдеуді талап ететін стенокардиясы, анамнезінде ІЖЖ немесе қазіргі кезде ІЖЖ шалдығуы (NYHA бойынша II-IV функционалды класы), СҚЛФ &lt;55%, дәрі-дәрмекпен емдеуді талап ететін кардиомиопатияның басқа да түрлерімен, жүрек аритмиясымен, жүрек клапандарының клиникалық маңызды ақауына, нашар бақыланатын артериялық гипертензияға (оның ішінде стандартты дәрі-дәрмекпен емдеу көмегімен) және гемодинамикалық бұзылулар аясында перикардиальді жалқыққа шалдыққан пациенттерадъювантты және неоадъювантты СБеО емі ретінде </w:t>
      </w:r>
      <w:r w:rsidR="0050122F" w:rsidRPr="005F36B9">
        <w:rPr>
          <w:spacing w:val="-4"/>
          <w:lang w:val="kk-KZ"/>
        </w:rPr>
        <w:t>[САУДАЛЫҚ АТАУЫ]</w:t>
      </w:r>
      <w:r w:rsidRPr="005F36B9">
        <w:rPr>
          <w:spacing w:val="-4"/>
          <w:lang w:val="kk-KZ"/>
        </w:rPr>
        <w:t xml:space="preserve"> препараты қолданылған базалық клиникалық зерттеулерден шығарылғандықтан, аталған пациенттерде препаратпен ем жүргізу ұсынылмайды.</w:t>
      </w:r>
    </w:p>
    <w:p w:rsidR="0085394F" w:rsidRPr="005F36B9" w:rsidRDefault="000118FC" w:rsidP="0085394F">
      <w:pPr>
        <w:jc w:val="both"/>
        <w:rPr>
          <w:i/>
          <w:spacing w:val="-4"/>
          <w:lang w:val="kk-KZ"/>
        </w:rPr>
      </w:pPr>
      <w:r w:rsidRPr="005F36B9">
        <w:rPr>
          <w:i/>
          <w:spacing w:val="-4"/>
          <w:lang w:val="kk-KZ"/>
        </w:rPr>
        <w:t>Адъювантты ем</w:t>
      </w:r>
    </w:p>
    <w:p w:rsidR="0085394F" w:rsidRPr="005F36B9" w:rsidRDefault="000118FC" w:rsidP="0085394F">
      <w:pPr>
        <w:jc w:val="both"/>
        <w:rPr>
          <w:spacing w:val="-4"/>
          <w:lang w:val="kk-KZ"/>
        </w:rPr>
      </w:pPr>
      <w:r w:rsidRPr="005F36B9">
        <w:rPr>
          <w:spacing w:val="-4"/>
          <w:lang w:val="kk-KZ"/>
        </w:rPr>
        <w:t xml:space="preserve">Адъювантты емдеу режимінде </w:t>
      </w:r>
      <w:r w:rsidR="0050122F" w:rsidRPr="005F36B9">
        <w:rPr>
          <w:spacing w:val="-4"/>
          <w:lang w:val="kk-KZ"/>
        </w:rPr>
        <w:t>[САУДАЛЫҚ АТАУЫ]</w:t>
      </w:r>
      <w:r w:rsidRPr="005F36B9">
        <w:rPr>
          <w:spacing w:val="-4"/>
          <w:lang w:val="kk-KZ"/>
        </w:rPr>
        <w:t xml:space="preserve"> препаратын антрациклиндермен біріктіріптағайындау ұсынылмайды.</w:t>
      </w:r>
    </w:p>
    <w:p w:rsidR="00F728A6" w:rsidRPr="005F36B9" w:rsidRDefault="000118FC" w:rsidP="0085394F">
      <w:pPr>
        <w:jc w:val="both"/>
        <w:rPr>
          <w:spacing w:val="-4"/>
          <w:lang w:val="kk-KZ"/>
        </w:rPr>
      </w:pPr>
      <w:r w:rsidRPr="005F36B9">
        <w:rPr>
          <w:spacing w:val="-4"/>
          <w:lang w:val="kk-KZ"/>
        </w:rPr>
        <w:t xml:space="preserve">СБеО-ға шалдыққан пациенттерде </w:t>
      </w:r>
      <w:r w:rsidR="00C90D73" w:rsidRPr="005F36B9">
        <w:rPr>
          <w:spacing w:val="-4"/>
          <w:lang w:val="kk-KZ"/>
        </w:rPr>
        <w:t>трастузумаб</w:t>
      </w:r>
      <w:r w:rsidR="00C90D73" w:rsidRPr="005F36B9">
        <w:rPr>
          <w:spacing w:val="-4"/>
          <w:lang w:val="kk-KZ"/>
        </w:rPr>
        <w:t xml:space="preserve">ты </w:t>
      </w:r>
      <w:r w:rsidRPr="005F36B9">
        <w:rPr>
          <w:spacing w:val="-4"/>
          <w:lang w:val="kk-KZ"/>
        </w:rPr>
        <w:t xml:space="preserve">доцетакселмен және карбоплатинмен (құрамында антрациклин қатарының препараттары жоқ режимдер) қолдану кезінде </w:t>
      </w:r>
      <w:r w:rsidRPr="005F36B9">
        <w:rPr>
          <w:spacing w:val="-4"/>
          <w:lang w:val="kk-KZ"/>
        </w:rPr>
        <w:lastRenderedPageBreak/>
        <w:t xml:space="preserve">туындайтын жағымсыз құбылыстардың жиілігімен салыстырғанда құрамында антрациклин бар химиотерапиядан кейін </w:t>
      </w:r>
      <w:r w:rsidR="00F43D00" w:rsidRPr="005F36B9">
        <w:rPr>
          <w:spacing w:val="-4"/>
          <w:lang w:val="kk-KZ"/>
        </w:rPr>
        <w:t xml:space="preserve">трастузумабты </w:t>
      </w:r>
      <w:r w:rsidRPr="005F36B9">
        <w:rPr>
          <w:spacing w:val="-4"/>
          <w:lang w:val="kk-KZ"/>
        </w:rPr>
        <w:t xml:space="preserve">(вена ішіне енгізуге арналған дәрілік түрінде) қолдану кезінде симптоматикалық және симптомсыз кардиологиялық оқиғалар жиілігінің артуы байқалды; кардиальді оқиғалар </w:t>
      </w:r>
      <w:r w:rsidR="00F43D00" w:rsidRPr="005F36B9">
        <w:rPr>
          <w:spacing w:val="-4"/>
          <w:lang w:val="kk-KZ"/>
        </w:rPr>
        <w:t>трастузумабты</w:t>
      </w:r>
      <w:r w:rsidRPr="005F36B9">
        <w:rPr>
          <w:spacing w:val="-4"/>
          <w:lang w:val="kk-KZ"/>
        </w:rPr>
        <w:t xml:space="preserve"> (вена ішіне енгізуге арналған дәрілік түрінде) және таксандарды бірге қолданғанда жүйелі қолданғанға қарағанда анағұрлым айқын сипатта болды. </w:t>
      </w:r>
    </w:p>
    <w:p w:rsidR="0085394F" w:rsidRPr="005F36B9" w:rsidRDefault="000118FC" w:rsidP="0085394F">
      <w:pPr>
        <w:jc w:val="both"/>
        <w:rPr>
          <w:spacing w:val="-4"/>
          <w:lang w:val="kk-KZ"/>
        </w:rPr>
      </w:pPr>
      <w:r w:rsidRPr="005F36B9">
        <w:rPr>
          <w:spacing w:val="-4"/>
          <w:lang w:val="kk-KZ"/>
        </w:rPr>
        <w:t xml:space="preserve">Қолданылатын емдеу режимдеріне қарамастан, симптоматикалық кардиальді оқиғалардың көпшілігі емдеудің алғашқы 18 айында пайда болды. Кейінгі бақылау медианасы 5.5 жылды құраған 3 базалық клиникалық зерттеулердің бірінде (BCIRG006) екі салыстыру топтарындағы (таксандарды одан әрі қолдана отырып, антрациклиндермен және циклофосфамидпен емдеу тобында және таксандармен, карбоплатинмен және </w:t>
      </w:r>
      <w:r w:rsidR="00F43D00" w:rsidRPr="005F36B9">
        <w:rPr>
          <w:spacing w:val="-4"/>
          <w:lang w:val="kk-KZ"/>
        </w:rPr>
        <w:t xml:space="preserve">трастузумабпен </w:t>
      </w:r>
      <w:r w:rsidRPr="005F36B9">
        <w:rPr>
          <w:spacing w:val="-4"/>
          <w:lang w:val="kk-KZ"/>
        </w:rPr>
        <w:t>емдеу тобында) па</w:t>
      </w:r>
      <w:r w:rsidR="001A2D0D" w:rsidRPr="005F36B9">
        <w:rPr>
          <w:spacing w:val="-4"/>
          <w:lang w:val="kk-KZ"/>
        </w:rPr>
        <w:t>циенттердің 1%-</w:t>
      </w:r>
      <w:r w:rsidRPr="005F36B9">
        <w:rPr>
          <w:spacing w:val="-4"/>
          <w:lang w:val="kk-KZ"/>
        </w:rPr>
        <w:t xml:space="preserve">бен салыстырғанда, </w:t>
      </w:r>
      <w:r w:rsidR="00F43D00" w:rsidRPr="005F36B9">
        <w:rPr>
          <w:spacing w:val="-4"/>
          <w:lang w:val="kk-KZ"/>
        </w:rPr>
        <w:t xml:space="preserve">трастузумабты </w:t>
      </w:r>
      <w:r w:rsidRPr="005F36B9">
        <w:rPr>
          <w:spacing w:val="-4"/>
          <w:lang w:val="kk-KZ"/>
        </w:rPr>
        <w:t>антрациклиндермен емдеуден кейін таксандармен бірге қабылдаған пациенттерде симптоматикалық кардиальді оқиғалардың кумулятивті жиілігінің</w:t>
      </w:r>
      <w:r w:rsidR="001A2D0D" w:rsidRPr="005F36B9">
        <w:rPr>
          <w:spacing w:val="-4"/>
          <w:lang w:val="kk-KZ"/>
        </w:rPr>
        <w:t xml:space="preserve"> ұзақ өсуі немесе СҚЛФ (2.37% -</w:t>
      </w:r>
      <w:r w:rsidRPr="005F36B9">
        <w:rPr>
          <w:spacing w:val="-4"/>
          <w:lang w:val="kk-KZ"/>
        </w:rPr>
        <w:t>ға дейін) төмендеуі байқалды.</w:t>
      </w:r>
    </w:p>
    <w:p w:rsidR="0085394F" w:rsidRPr="005F36B9" w:rsidRDefault="000118FC" w:rsidP="0085394F">
      <w:pPr>
        <w:jc w:val="both"/>
        <w:rPr>
          <w:spacing w:val="-4"/>
          <w:lang w:val="kk-KZ"/>
        </w:rPr>
      </w:pPr>
      <w:r w:rsidRPr="005F36B9">
        <w:rPr>
          <w:spacing w:val="-4"/>
          <w:lang w:val="kk-KZ"/>
        </w:rPr>
        <w:t xml:space="preserve">Адъювантты режимдегі емдеуді төрт ірі зерттеу барысында анықталған кардиальді оқиғалардың даму қауіп факторларына егде жас (&gt;50 жас), паклитакселмен емдеуді бастағанға дейін немесе одан кейін бастапқы төмен СҚЛФ (&lt;55%), СҚЛФ 10-15 тармаққа төмендеуі және гипертензияға қарсы препараттарды алдында немесе қатарлас қабылдау жатады. Адъювантты химиотерапия аяқталғаннан кейін </w:t>
      </w:r>
      <w:r w:rsidR="00F43D00" w:rsidRPr="005F36B9">
        <w:rPr>
          <w:spacing w:val="-4"/>
          <w:lang w:val="kk-KZ"/>
        </w:rPr>
        <w:t>трастузумаб</w:t>
      </w:r>
      <w:r w:rsidRPr="005F36B9">
        <w:rPr>
          <w:spacing w:val="-4"/>
          <w:lang w:val="kk-KZ"/>
        </w:rPr>
        <w:t xml:space="preserve"> қабылдаған пациенттерде жүрек функциясының бұзылу қаупі </w:t>
      </w:r>
      <w:r w:rsidR="0050122F" w:rsidRPr="005F36B9">
        <w:rPr>
          <w:spacing w:val="-4"/>
          <w:lang w:val="kk-KZ"/>
        </w:rPr>
        <w:t>[САУДАЛЫҚ АТАУЫ]</w:t>
      </w:r>
      <w:r w:rsidRPr="005F36B9">
        <w:rPr>
          <w:spacing w:val="-4"/>
          <w:lang w:val="kk-KZ"/>
        </w:rPr>
        <w:t xml:space="preserve"> препаратымен емдеу басталғанға дейін алынған антрациклиннің анағұрлым жоғары кумулятивті дозасымен және&gt;25 кг/м</w:t>
      </w:r>
      <w:r w:rsidRPr="005F36B9">
        <w:rPr>
          <w:spacing w:val="-4"/>
          <w:vertAlign w:val="superscript"/>
          <w:lang w:val="kk-KZ"/>
        </w:rPr>
        <w:t>2</w:t>
      </w:r>
      <w:r w:rsidRPr="005F36B9">
        <w:rPr>
          <w:spacing w:val="-4"/>
          <w:lang w:val="kk-KZ"/>
        </w:rPr>
        <w:t xml:space="preserve"> дене салмағының индексімен (ДСИ) астасқан.</w:t>
      </w:r>
    </w:p>
    <w:p w:rsidR="0085394F" w:rsidRPr="005F36B9" w:rsidRDefault="000118FC" w:rsidP="0085394F">
      <w:pPr>
        <w:jc w:val="both"/>
        <w:rPr>
          <w:i/>
          <w:spacing w:val="-4"/>
          <w:lang w:val="kk-KZ"/>
        </w:rPr>
      </w:pPr>
      <w:r w:rsidRPr="005F36B9">
        <w:rPr>
          <w:i/>
          <w:spacing w:val="-4"/>
          <w:lang w:val="kk-KZ"/>
        </w:rPr>
        <w:t>Неоадъювантты және адъювантты ем</w:t>
      </w:r>
    </w:p>
    <w:p w:rsidR="0085394F" w:rsidRPr="005F36B9" w:rsidRDefault="000118FC" w:rsidP="0085394F">
      <w:pPr>
        <w:jc w:val="both"/>
        <w:rPr>
          <w:spacing w:val="-4"/>
          <w:lang w:val="kk-KZ"/>
        </w:rPr>
      </w:pPr>
      <w:r w:rsidRPr="005F36B9">
        <w:rPr>
          <w:spacing w:val="-4"/>
          <w:lang w:val="kk-KZ"/>
        </w:rPr>
        <w:t xml:space="preserve">Неоадъювантты және адъювантты ем тағайындалуы мүмкін СБеО-ға шалдыққан пациенттерде </w:t>
      </w:r>
      <w:r w:rsidR="0050122F" w:rsidRPr="005F36B9">
        <w:rPr>
          <w:spacing w:val="-4"/>
          <w:lang w:val="kk-KZ"/>
        </w:rPr>
        <w:t>[САУДАЛЫҚ АТАУЫ]</w:t>
      </w:r>
      <w:r w:rsidRPr="005F36B9">
        <w:rPr>
          <w:spacing w:val="-4"/>
          <w:lang w:val="kk-KZ"/>
        </w:rPr>
        <w:t xml:space="preserve"> препаратын егер олар бұрын химиотерапия алмаған және антрациклиндермен емдеудің төмен дозалы режимдерін қолданған жағдайда ғана, яғни доксорубициннің 180 мг/м</w:t>
      </w:r>
      <w:r w:rsidRPr="005F36B9">
        <w:rPr>
          <w:spacing w:val="-4"/>
          <w:vertAlign w:val="superscript"/>
          <w:lang w:val="kk-KZ"/>
        </w:rPr>
        <w:t>2</w:t>
      </w:r>
      <w:r w:rsidRPr="005F36B9">
        <w:rPr>
          <w:spacing w:val="-4"/>
          <w:lang w:val="kk-KZ"/>
        </w:rPr>
        <w:t xml:space="preserve"> немесе эпирубициннің 360 мг/м</w:t>
      </w:r>
      <w:r w:rsidRPr="005F36B9">
        <w:rPr>
          <w:spacing w:val="-4"/>
          <w:vertAlign w:val="superscript"/>
          <w:lang w:val="kk-KZ"/>
        </w:rPr>
        <w:t>2</w:t>
      </w:r>
      <w:r w:rsidRPr="005F36B9">
        <w:rPr>
          <w:spacing w:val="-4"/>
          <w:lang w:val="kk-KZ"/>
        </w:rPr>
        <w:t xml:space="preserve"> ең жоғары кумулятивтік дозасымен қолданған жөн. </w:t>
      </w:r>
    </w:p>
    <w:p w:rsidR="0085394F" w:rsidRPr="005F36B9" w:rsidRDefault="000118FC" w:rsidP="0085394F">
      <w:pPr>
        <w:jc w:val="both"/>
        <w:rPr>
          <w:spacing w:val="-4"/>
          <w:lang w:val="kk-KZ"/>
        </w:rPr>
      </w:pPr>
      <w:r w:rsidRPr="005F36B9">
        <w:rPr>
          <w:spacing w:val="-4"/>
          <w:lang w:val="kk-KZ"/>
        </w:rPr>
        <w:t xml:space="preserve">Антрациклиндермен төмен дозалы емнің толық курсын және неоадъювантты режимде </w:t>
      </w:r>
      <w:r w:rsidR="0050122F" w:rsidRPr="005F36B9">
        <w:rPr>
          <w:spacing w:val="-4"/>
          <w:lang w:val="kk-KZ"/>
        </w:rPr>
        <w:t>[САУДАЛЫҚ АТАУЫ]</w:t>
      </w:r>
      <w:r w:rsidRPr="005F36B9">
        <w:rPr>
          <w:spacing w:val="-4"/>
          <w:lang w:val="kk-KZ"/>
        </w:rPr>
        <w:t xml:space="preserve"> препаратын алған пациенттерге хирургиялық араласымнан кейін қосымша цитоуытты химиотерапия жүргізу ұсынылмайды. Басқа жағдайларда қосымша цитоуытты химиотерапия жүргізу қажеттілігі туралы шешім жеке факторларды ескере отырып, қабылданады.</w:t>
      </w:r>
    </w:p>
    <w:p w:rsidR="0085394F" w:rsidRPr="005F36B9" w:rsidRDefault="000118FC" w:rsidP="0085394F">
      <w:pPr>
        <w:jc w:val="both"/>
        <w:rPr>
          <w:spacing w:val="-4"/>
          <w:lang w:val="kk-KZ"/>
        </w:rPr>
      </w:pPr>
      <w:r w:rsidRPr="005F36B9">
        <w:rPr>
          <w:spacing w:val="-4"/>
          <w:lang w:val="kk-KZ"/>
        </w:rPr>
        <w:t>Қазіргі уақытта трастузумабты төмен дозалы антрациклинмен емдеу режимдерімен бірге қолдану тәжірибесі екі зерттеудің (МО16432 және ВО22227) деректерімен шектелген.</w:t>
      </w:r>
    </w:p>
    <w:p w:rsidR="0085394F" w:rsidRPr="005F36B9" w:rsidRDefault="000118FC" w:rsidP="0085394F">
      <w:pPr>
        <w:jc w:val="both"/>
        <w:rPr>
          <w:rFonts w:ascii="Arial" w:hAnsi="Arial" w:cs="Arial"/>
          <w:spacing w:val="-4"/>
          <w:lang w:val="kk-KZ"/>
        </w:rPr>
      </w:pPr>
      <w:r w:rsidRPr="005F36B9">
        <w:rPr>
          <w:spacing w:val="-4"/>
          <w:lang w:val="kk-KZ"/>
        </w:rPr>
        <w:t xml:space="preserve">МО16432 базалық зерттеуінде </w:t>
      </w:r>
      <w:r w:rsidR="00F43D00" w:rsidRPr="005F36B9">
        <w:rPr>
          <w:spacing w:val="-4"/>
          <w:lang w:val="kk-KZ"/>
        </w:rPr>
        <w:t xml:space="preserve">трастузумабты </w:t>
      </w:r>
      <w:r w:rsidRPr="005F36B9">
        <w:rPr>
          <w:spacing w:val="-4"/>
          <w:lang w:val="kk-KZ"/>
        </w:rPr>
        <w:t>доксорубициннің үш циклын (кумулятивтік дозасы 180 мг/м</w:t>
      </w:r>
      <w:r w:rsidRPr="005F36B9">
        <w:rPr>
          <w:spacing w:val="-4"/>
          <w:vertAlign w:val="superscript"/>
          <w:lang w:val="kk-KZ"/>
        </w:rPr>
        <w:t>2</w:t>
      </w:r>
      <w:r w:rsidRPr="005F36B9">
        <w:rPr>
          <w:spacing w:val="-4"/>
          <w:lang w:val="kk-KZ"/>
        </w:rPr>
        <w:t xml:space="preserve">) қамтитын неоадъювантты химиотерапиямен бірге қолданды. </w:t>
      </w:r>
      <w:r w:rsidR="00F43D00" w:rsidRPr="005F36B9">
        <w:rPr>
          <w:spacing w:val="-4"/>
          <w:lang w:val="kk-KZ"/>
        </w:rPr>
        <w:t xml:space="preserve">Трастузумабты </w:t>
      </w:r>
      <w:r w:rsidRPr="005F36B9">
        <w:rPr>
          <w:spacing w:val="-4"/>
          <w:lang w:val="kk-KZ"/>
        </w:rPr>
        <w:t>қабылдаған пациенттер тобында жүректің симптоматикалық дисфункциясының даму жиілігі 1.7 % құрады.</w:t>
      </w:r>
    </w:p>
    <w:p w:rsidR="0085394F" w:rsidRPr="005F36B9" w:rsidRDefault="000118FC" w:rsidP="0085394F">
      <w:pPr>
        <w:jc w:val="both"/>
        <w:rPr>
          <w:spacing w:val="-4"/>
          <w:lang w:val="kk-KZ"/>
        </w:rPr>
      </w:pPr>
      <w:r w:rsidRPr="005F36B9">
        <w:rPr>
          <w:spacing w:val="-4"/>
          <w:lang w:val="kk-KZ"/>
        </w:rPr>
        <w:t xml:space="preserve">BO22227 базалық зерттеуінде </w:t>
      </w:r>
      <w:r w:rsidR="00F43D00" w:rsidRPr="005F36B9">
        <w:rPr>
          <w:spacing w:val="-4"/>
          <w:lang w:val="kk-KZ"/>
        </w:rPr>
        <w:t xml:space="preserve">трастузумаб </w:t>
      </w:r>
      <w:r w:rsidRPr="005F36B9">
        <w:rPr>
          <w:spacing w:val="-4"/>
          <w:lang w:val="kk-KZ"/>
        </w:rPr>
        <w:t>эпирубициннің (кумулятивтік доза 300 мг/м</w:t>
      </w:r>
      <w:r w:rsidRPr="005F36B9">
        <w:rPr>
          <w:spacing w:val="-4"/>
          <w:vertAlign w:val="superscript"/>
          <w:lang w:val="kk-KZ"/>
        </w:rPr>
        <w:t>2</w:t>
      </w:r>
      <w:r w:rsidRPr="005F36B9">
        <w:rPr>
          <w:spacing w:val="-4"/>
          <w:lang w:val="kk-KZ"/>
        </w:rPr>
        <w:t xml:space="preserve">) төрт циклін қамтыған, неоадъювантты химиотерапиямен бірге қолданылды; 70 айдан астам кейінгі бақылау медианасы кезінде жүрек жеткіліксіздігінің/іркілісті жүрек жеткіліксіздігінің даму жиілігі вена ішіне енгізуге арналған </w:t>
      </w:r>
      <w:r w:rsidR="00BF1259" w:rsidRPr="005F36B9">
        <w:rPr>
          <w:spacing w:val="-4"/>
          <w:lang w:val="kk-KZ"/>
        </w:rPr>
        <w:t xml:space="preserve">дәрілік түрдегі </w:t>
      </w:r>
      <w:r w:rsidR="0050122F" w:rsidRPr="005F36B9">
        <w:rPr>
          <w:spacing w:val="-4"/>
          <w:lang w:val="kk-KZ"/>
        </w:rPr>
        <w:t>[САУДАЛЫҚ АТАУЫ]</w:t>
      </w:r>
      <w:r w:rsidRPr="005F36B9">
        <w:rPr>
          <w:spacing w:val="-4"/>
          <w:lang w:val="kk-KZ"/>
        </w:rPr>
        <w:t xml:space="preserve"> препаратын алған пациенттер тобында 0.3%-ды және тері астына енгізуге арналған </w:t>
      </w:r>
      <w:r w:rsidR="00BF1259" w:rsidRPr="005F36B9">
        <w:rPr>
          <w:spacing w:val="-4"/>
          <w:lang w:val="kk-KZ"/>
        </w:rPr>
        <w:t xml:space="preserve">дәрілік түрдегі </w:t>
      </w:r>
      <w:r w:rsidR="0050122F" w:rsidRPr="005F36B9">
        <w:rPr>
          <w:spacing w:val="-4"/>
          <w:lang w:val="kk-KZ"/>
        </w:rPr>
        <w:t>[САУДАЛЫҚ АТАУЫ]</w:t>
      </w:r>
      <w:r w:rsidRPr="005F36B9">
        <w:rPr>
          <w:spacing w:val="-4"/>
          <w:lang w:val="kk-KZ"/>
        </w:rPr>
        <w:t xml:space="preserve"> препаратын қабылдаған пациенттер тобында 0.7%-ды құрады. Дене салмағы анағұрлым төмен (&lt;59 кг, дене салмағының ең аз квартилі) пациенттерде тері астына енгізуге арналған </w:t>
      </w:r>
      <w:r w:rsidR="00BF1259" w:rsidRPr="005F36B9">
        <w:rPr>
          <w:spacing w:val="-4"/>
          <w:lang w:val="kk-KZ"/>
        </w:rPr>
        <w:t xml:space="preserve">дәрілік түрдегі </w:t>
      </w:r>
      <w:r w:rsidR="0050122F" w:rsidRPr="005F36B9">
        <w:rPr>
          <w:spacing w:val="-4"/>
          <w:lang w:val="kk-KZ"/>
        </w:rPr>
        <w:t>[САУДАЛЫҚ АТАУЫ]</w:t>
      </w:r>
      <w:r w:rsidRPr="005F36B9">
        <w:rPr>
          <w:spacing w:val="-4"/>
          <w:lang w:val="kk-KZ"/>
        </w:rPr>
        <w:t xml:space="preserve"> препаратының тіркелген дозасын пайдалану кардиальді оқиғалардың даму қаупінің жоғарылауымен немесе СҚЛФ көрсеткішінің айтарлықтай төмендеуімен байланысты емес. </w:t>
      </w:r>
    </w:p>
    <w:p w:rsidR="0085394F" w:rsidRPr="005F36B9" w:rsidRDefault="000118FC" w:rsidP="0085394F">
      <w:pPr>
        <w:jc w:val="both"/>
        <w:rPr>
          <w:spacing w:val="-4"/>
          <w:lang w:val="kk-KZ"/>
        </w:rPr>
      </w:pPr>
      <w:r w:rsidRPr="005F36B9">
        <w:rPr>
          <w:spacing w:val="-4"/>
          <w:lang w:val="kk-KZ"/>
        </w:rPr>
        <w:t>Препаратты 65 жастан асқан пациенттерде қолданудың клиникалық тәжірибесі шектеулі.</w:t>
      </w:r>
    </w:p>
    <w:p w:rsidR="0085394F" w:rsidRPr="005F36B9" w:rsidRDefault="000118FC" w:rsidP="0085394F">
      <w:pPr>
        <w:jc w:val="both"/>
        <w:rPr>
          <w:spacing w:val="-4"/>
          <w:u w:val="single"/>
          <w:lang w:val="kk-KZ"/>
        </w:rPr>
      </w:pPr>
      <w:r w:rsidRPr="005F36B9">
        <w:rPr>
          <w:spacing w:val="-4"/>
          <w:u w:val="single"/>
          <w:lang w:val="kk-KZ"/>
        </w:rPr>
        <w:lastRenderedPageBreak/>
        <w:t xml:space="preserve">Препаратты </w:t>
      </w:r>
      <w:r w:rsidR="005816BD" w:rsidRPr="005F36B9">
        <w:rPr>
          <w:spacing w:val="-4"/>
          <w:u w:val="single"/>
          <w:lang w:val="kk-KZ"/>
        </w:rPr>
        <w:t xml:space="preserve">қолдануға байланысты </w:t>
      </w:r>
      <w:r w:rsidRPr="005F36B9">
        <w:rPr>
          <w:spacing w:val="-4"/>
          <w:u w:val="single"/>
          <w:lang w:val="kk-KZ"/>
        </w:rPr>
        <w:t>реакциялар</w:t>
      </w:r>
    </w:p>
    <w:p w:rsidR="0085394F" w:rsidRPr="005F36B9" w:rsidRDefault="000118FC" w:rsidP="0085394F">
      <w:pPr>
        <w:jc w:val="both"/>
        <w:rPr>
          <w:spacing w:val="-4"/>
          <w:lang w:val="kk-KZ"/>
        </w:rPr>
      </w:pPr>
      <w:r w:rsidRPr="005F36B9">
        <w:rPr>
          <w:spacing w:val="-4"/>
          <w:lang w:val="kk-KZ"/>
        </w:rPr>
        <w:t xml:space="preserve">Тері астына енгізуге арналған </w:t>
      </w:r>
      <w:r w:rsidR="00BF1259" w:rsidRPr="005F36B9">
        <w:rPr>
          <w:spacing w:val="-4"/>
          <w:lang w:val="kk-KZ"/>
        </w:rPr>
        <w:t xml:space="preserve">дәрілік түрдегі </w:t>
      </w:r>
      <w:r w:rsidR="0050122F" w:rsidRPr="005F36B9">
        <w:rPr>
          <w:spacing w:val="-4"/>
          <w:lang w:val="kk-KZ"/>
        </w:rPr>
        <w:t>[САУДАЛЫҚ АТАУЫ]</w:t>
      </w:r>
      <w:r w:rsidRPr="005F36B9">
        <w:rPr>
          <w:spacing w:val="-4"/>
          <w:lang w:val="kk-KZ"/>
        </w:rPr>
        <w:t xml:space="preserve"> препаратын пайдаланған кезде препаратты </w:t>
      </w:r>
      <w:r w:rsidR="005816BD" w:rsidRPr="005F36B9">
        <w:rPr>
          <w:spacing w:val="-4"/>
          <w:lang w:val="kk-KZ"/>
        </w:rPr>
        <w:t xml:space="preserve">қолдануға байланысты </w:t>
      </w:r>
      <w:r w:rsidRPr="005F36B9">
        <w:rPr>
          <w:spacing w:val="-4"/>
          <w:lang w:val="kk-KZ"/>
        </w:rPr>
        <w:t>реакциялар дамиды. Мұндай реакциялардың пайда болу қаупін азайту үшін премедикация қолданылуы мүмкін.</w:t>
      </w:r>
    </w:p>
    <w:p w:rsidR="0085394F" w:rsidRPr="005F36B9" w:rsidRDefault="000118FC" w:rsidP="0085394F">
      <w:pPr>
        <w:jc w:val="both"/>
        <w:rPr>
          <w:spacing w:val="-4"/>
          <w:lang w:val="kk-KZ"/>
        </w:rPr>
      </w:pPr>
      <w:r w:rsidRPr="005F36B9">
        <w:rPr>
          <w:spacing w:val="-4"/>
          <w:lang w:val="kk-KZ"/>
        </w:rPr>
        <w:t xml:space="preserve">Тері астына енгізуге арналған </w:t>
      </w:r>
      <w:r w:rsidR="00BF1259" w:rsidRPr="005F36B9">
        <w:rPr>
          <w:spacing w:val="-4"/>
          <w:lang w:val="kk-KZ"/>
        </w:rPr>
        <w:t xml:space="preserve">дәрілік түрдегі </w:t>
      </w:r>
      <w:r w:rsidR="0050122F" w:rsidRPr="005F36B9">
        <w:rPr>
          <w:spacing w:val="-4"/>
          <w:lang w:val="kk-KZ"/>
        </w:rPr>
        <w:t>[САУДАЛЫҚ АТАУЫ]</w:t>
      </w:r>
      <w:r w:rsidRPr="005F36B9">
        <w:rPr>
          <w:spacing w:val="-4"/>
          <w:lang w:val="kk-KZ"/>
        </w:rPr>
        <w:t xml:space="preserve"> препараты қолданылған клиникалық зерттеуде препаратты </w:t>
      </w:r>
      <w:r w:rsidR="005816BD" w:rsidRPr="005F36B9">
        <w:rPr>
          <w:spacing w:val="-4"/>
          <w:lang w:val="kk-KZ"/>
        </w:rPr>
        <w:t xml:space="preserve">қолдануға байланысты </w:t>
      </w:r>
      <w:r w:rsidRPr="005F36B9">
        <w:rPr>
          <w:spacing w:val="-4"/>
          <w:lang w:val="kk-KZ"/>
        </w:rPr>
        <w:t xml:space="preserve">елеулі реакциялардың (ентігуді, </w:t>
      </w:r>
      <w:r w:rsidR="0063562E" w:rsidRPr="005F36B9">
        <w:rPr>
          <w:spacing w:val="-4"/>
          <w:lang w:val="kk-KZ"/>
        </w:rPr>
        <w:t>артериялық гипотензияны, бронхо</w:t>
      </w:r>
      <w:r w:rsidRPr="005F36B9">
        <w:rPr>
          <w:spacing w:val="-4"/>
          <w:lang w:val="kk-KZ"/>
        </w:rPr>
        <w:t xml:space="preserve">обструкциялық синдромды, бронх түйілуді, тахикардияны, қанның оттегімен қанығуының төмендеуін және </w:t>
      </w:r>
      <w:r w:rsidR="00677650" w:rsidRPr="005F36B9">
        <w:rPr>
          <w:spacing w:val="-4"/>
          <w:lang w:val="kk-KZ"/>
        </w:rPr>
        <w:t>тыныс алудың бұзылысын қоса</w:t>
      </w:r>
      <w:r w:rsidRPr="005F36B9">
        <w:rPr>
          <w:spacing w:val="-4"/>
          <w:lang w:val="kk-KZ"/>
        </w:rPr>
        <w:t xml:space="preserve"> алғанда) дамуы туралы хабарланбағанына қарамастан, препаратты қолданған кезде </w:t>
      </w:r>
      <w:r w:rsidR="00091311" w:rsidRPr="005F36B9">
        <w:rPr>
          <w:spacing w:val="-4"/>
          <w:lang w:val="kk-KZ"/>
        </w:rPr>
        <w:t>сақ болу</w:t>
      </w:r>
      <w:r w:rsidRPr="005F36B9">
        <w:rPr>
          <w:spacing w:val="-4"/>
          <w:lang w:val="kk-KZ"/>
        </w:rPr>
        <w:t xml:space="preserve">керек, өйткені бұл реакциялар вена ішіне енгізуге арналған </w:t>
      </w:r>
      <w:r w:rsidR="00BF1259" w:rsidRPr="005F36B9">
        <w:rPr>
          <w:spacing w:val="-4"/>
          <w:lang w:val="kk-KZ"/>
        </w:rPr>
        <w:t xml:space="preserve">дәрілік түрдегі </w:t>
      </w:r>
      <w:r w:rsidR="0050122F" w:rsidRPr="005F36B9">
        <w:rPr>
          <w:spacing w:val="-4"/>
          <w:lang w:val="kk-KZ"/>
        </w:rPr>
        <w:t>[САУДАЛЫҚ АТАУЫ]</w:t>
      </w:r>
      <w:r w:rsidRPr="005F36B9">
        <w:rPr>
          <w:spacing w:val="-4"/>
          <w:lang w:val="kk-KZ"/>
        </w:rPr>
        <w:t xml:space="preserve"> препаратын </w:t>
      </w:r>
      <w:r w:rsidR="005816BD" w:rsidRPr="005F36B9">
        <w:rPr>
          <w:spacing w:val="-4"/>
          <w:lang w:val="kk-KZ"/>
        </w:rPr>
        <w:t xml:space="preserve">қолдануға байланысты </w:t>
      </w:r>
      <w:r w:rsidRPr="005F36B9">
        <w:rPr>
          <w:spacing w:val="-4"/>
          <w:lang w:val="kk-KZ"/>
        </w:rPr>
        <w:t xml:space="preserve">болған. Пациенттер бірінші инъекциядан кейін 6 сағат бойы және кейінгі инъекциядан кейін 2 сағат бойы препаратты </w:t>
      </w:r>
      <w:r w:rsidR="005816BD" w:rsidRPr="005F36B9">
        <w:rPr>
          <w:spacing w:val="-4"/>
          <w:lang w:val="kk-KZ"/>
        </w:rPr>
        <w:t xml:space="preserve">қолдануға байланысты </w:t>
      </w:r>
      <w:r w:rsidRPr="005F36B9">
        <w:rPr>
          <w:spacing w:val="-4"/>
          <w:lang w:val="kk-KZ"/>
        </w:rPr>
        <w:t xml:space="preserve">реакциялар белгілері мен симптомдарының дамуы тұрғысынан бақылауда болуы тиіс. Мұндай реакциялар дамыған жағдайда пациенттерге анальгетиктер/антипиретиктер (меперидин, парацетамол) немесе антигистаминдер (дифенгидрамин) тағайындалуы мүмкін. Вена ішіне енгізуге арналған </w:t>
      </w:r>
      <w:r w:rsidR="00BF1259" w:rsidRPr="005F36B9">
        <w:rPr>
          <w:spacing w:val="-4"/>
          <w:lang w:val="kk-KZ"/>
        </w:rPr>
        <w:t xml:space="preserve">дәрілік түрдегі </w:t>
      </w:r>
      <w:r w:rsidR="0050122F" w:rsidRPr="005F36B9">
        <w:rPr>
          <w:spacing w:val="-4"/>
          <w:lang w:val="kk-KZ"/>
        </w:rPr>
        <w:t>[САУДАЛЫҚ АТАУЫ]</w:t>
      </w:r>
      <w:r w:rsidRPr="005F36B9">
        <w:rPr>
          <w:spacing w:val="-4"/>
          <w:lang w:val="kk-KZ"/>
        </w:rPr>
        <w:t xml:space="preserve"> препаратын </w:t>
      </w:r>
      <w:r w:rsidR="005816BD" w:rsidRPr="005F36B9">
        <w:rPr>
          <w:spacing w:val="-4"/>
          <w:lang w:val="kk-KZ"/>
        </w:rPr>
        <w:t xml:space="preserve">қолдануға байланысты </w:t>
      </w:r>
      <w:r w:rsidRPr="005F36B9">
        <w:rPr>
          <w:spacing w:val="-4"/>
          <w:lang w:val="kk-KZ"/>
        </w:rPr>
        <w:t>елеулі реакциялар оттегі ингаляциясын, бета-адреностимуляторлар мен глюкокортикостероидтарды қолдануды қоса алғанда, демеуші емнің көмегімен тиімді тоқтатылды. Сирек жағдайларда бұл реакциялар өлімге әкелетін жағдайлармен байла</w:t>
      </w:r>
      <w:r w:rsidR="001A2D0D" w:rsidRPr="005F36B9">
        <w:rPr>
          <w:spacing w:val="-4"/>
          <w:lang w:val="kk-KZ"/>
        </w:rPr>
        <w:t>нысты болды. Үдемелі қатерлі жа</w:t>
      </w:r>
      <w:r w:rsidRPr="005F36B9">
        <w:rPr>
          <w:spacing w:val="-4"/>
          <w:lang w:val="kk-KZ"/>
        </w:rPr>
        <w:t xml:space="preserve">ңа түзілімдердің асқынуларынан және қатарлас аурулардан туындаған тыныш күйінде ентігуі бар пациенттер препаратты </w:t>
      </w:r>
      <w:r w:rsidR="005816BD" w:rsidRPr="005F36B9">
        <w:rPr>
          <w:spacing w:val="-4"/>
          <w:lang w:val="kk-KZ"/>
        </w:rPr>
        <w:t xml:space="preserve">қолдануға байланысты </w:t>
      </w:r>
      <w:r w:rsidRPr="005F36B9">
        <w:rPr>
          <w:spacing w:val="-4"/>
          <w:lang w:val="kk-KZ"/>
        </w:rPr>
        <w:t xml:space="preserve">өлім реакциялары дамуының жоғары қаупіне ұшырауы мүмкін. Демек, осы пациенттерде </w:t>
      </w:r>
      <w:r w:rsidR="0050122F" w:rsidRPr="005F36B9">
        <w:rPr>
          <w:spacing w:val="-4"/>
          <w:lang w:val="kk-KZ"/>
        </w:rPr>
        <w:t>[САУДАЛЫҚ АТАУЫ]</w:t>
      </w:r>
      <w:r w:rsidRPr="005F36B9">
        <w:rPr>
          <w:spacing w:val="-4"/>
          <w:lang w:val="kk-KZ"/>
        </w:rPr>
        <w:t xml:space="preserve"> препарат</w:t>
      </w:r>
      <w:r w:rsidR="001A2D0D" w:rsidRPr="005F36B9">
        <w:rPr>
          <w:spacing w:val="-4"/>
          <w:lang w:val="kk-KZ"/>
        </w:rPr>
        <w:t xml:space="preserve">ымен ем жүргізуге болмайды (4.3 </w:t>
      </w:r>
      <w:r w:rsidRPr="005F36B9">
        <w:rPr>
          <w:spacing w:val="-4"/>
          <w:lang w:val="kk-KZ"/>
        </w:rPr>
        <w:t>бөлімді қараңыз).</w:t>
      </w:r>
    </w:p>
    <w:p w:rsidR="0005713B" w:rsidRPr="005F36B9" w:rsidRDefault="000118FC" w:rsidP="0085394F">
      <w:pPr>
        <w:jc w:val="both"/>
        <w:rPr>
          <w:spacing w:val="-4"/>
          <w:u w:val="single"/>
          <w:lang w:val="kk-KZ"/>
        </w:rPr>
      </w:pPr>
      <w:r w:rsidRPr="005F36B9">
        <w:rPr>
          <w:spacing w:val="-4"/>
          <w:u w:val="single"/>
          <w:lang w:val="kk-KZ"/>
        </w:rPr>
        <w:t>Өкпе тарапынан бұзылулар</w:t>
      </w:r>
    </w:p>
    <w:p w:rsidR="0085394F" w:rsidRPr="005F36B9" w:rsidRDefault="00091311" w:rsidP="0085394F">
      <w:pPr>
        <w:jc w:val="both"/>
        <w:rPr>
          <w:spacing w:val="-4"/>
          <w:lang w:val="kk-KZ"/>
        </w:rPr>
      </w:pPr>
      <w:r w:rsidRPr="005F36B9">
        <w:rPr>
          <w:spacing w:val="-4"/>
          <w:lang w:val="kk-KZ"/>
        </w:rPr>
        <w:t>Т</w:t>
      </w:r>
      <w:r w:rsidRPr="005F36B9">
        <w:rPr>
          <w:spacing w:val="-4"/>
          <w:lang w:val="kk-KZ"/>
        </w:rPr>
        <w:t>іркеуден кейінгі кезеңде вена ішіне енгізуге арналған препараттың дәрілік түрін қолданғанда өкпе тарапынан ауыр бұзылулардың дамуы туралы хабарланған</w:t>
      </w:r>
      <w:r w:rsidRPr="005F36B9">
        <w:rPr>
          <w:spacing w:val="-4"/>
          <w:lang w:val="kk-KZ"/>
        </w:rPr>
        <w:t xml:space="preserve">дықтан, </w:t>
      </w:r>
      <w:r w:rsidRPr="005F36B9">
        <w:rPr>
          <w:spacing w:val="-4"/>
          <w:lang w:val="kk-KZ"/>
        </w:rPr>
        <w:t xml:space="preserve"> </w:t>
      </w:r>
      <w:r w:rsidRPr="005F36B9">
        <w:rPr>
          <w:spacing w:val="-4"/>
          <w:lang w:val="kk-KZ"/>
        </w:rPr>
        <w:t>т</w:t>
      </w:r>
      <w:r w:rsidR="000118FC" w:rsidRPr="005F36B9">
        <w:rPr>
          <w:spacing w:val="-4"/>
          <w:lang w:val="kk-KZ"/>
        </w:rPr>
        <w:t xml:space="preserve">ері астына енгізуге арналған </w:t>
      </w:r>
      <w:r w:rsidR="00BF1259" w:rsidRPr="005F36B9">
        <w:rPr>
          <w:spacing w:val="-4"/>
          <w:lang w:val="kk-KZ"/>
        </w:rPr>
        <w:t>дәрілік түрдег</w:t>
      </w:r>
      <w:bookmarkStart w:id="4" w:name="_GoBack"/>
      <w:bookmarkEnd w:id="4"/>
      <w:r w:rsidR="00BF1259" w:rsidRPr="005F36B9">
        <w:rPr>
          <w:spacing w:val="-4"/>
          <w:lang w:val="kk-KZ"/>
        </w:rPr>
        <w:t xml:space="preserve">і </w:t>
      </w:r>
      <w:r w:rsidR="0050122F" w:rsidRPr="005F36B9">
        <w:rPr>
          <w:spacing w:val="-4"/>
          <w:lang w:val="kk-KZ"/>
        </w:rPr>
        <w:t>[САУДАЛЫҚ АТАУЫ]</w:t>
      </w:r>
      <w:r w:rsidR="000118FC" w:rsidRPr="005F36B9">
        <w:rPr>
          <w:spacing w:val="-4"/>
          <w:lang w:val="kk-KZ"/>
        </w:rPr>
        <w:t xml:space="preserve"> препаратын тағайындағанда </w:t>
      </w:r>
      <w:r w:rsidRPr="005F36B9">
        <w:rPr>
          <w:spacing w:val="-4"/>
          <w:lang w:val="kk-KZ"/>
        </w:rPr>
        <w:t xml:space="preserve">сақ болу </w:t>
      </w:r>
      <w:r w:rsidR="000118FC" w:rsidRPr="005F36B9">
        <w:rPr>
          <w:spacing w:val="-4"/>
          <w:lang w:val="kk-KZ"/>
        </w:rPr>
        <w:t>ұсынылады (4.8</w:t>
      </w:r>
      <w:r w:rsidR="00F43D00" w:rsidRPr="005F36B9">
        <w:rPr>
          <w:spacing w:val="-4"/>
          <w:lang w:val="kk-KZ"/>
        </w:rPr>
        <w:t xml:space="preserve"> </w:t>
      </w:r>
      <w:r w:rsidR="000118FC" w:rsidRPr="005F36B9">
        <w:rPr>
          <w:spacing w:val="-4"/>
          <w:lang w:val="kk-KZ"/>
        </w:rPr>
        <w:t xml:space="preserve">бөлімді қараңыз). Сирек жағдайларда бұл құбылыстар өліммен аяқталды және инфузиялық реакцияның көрінісі болды немесе кейінге қалдырылды. Сонымен қатар, өкпенің интерстициальді ауруы (ИБЛ), оның ішінде өкпе инфильтраттары, жедел респираторлық дистресс-синдром, пневмония, пневмонит, плевралы жалқық, </w:t>
      </w:r>
      <w:r w:rsidR="00E3349B" w:rsidRPr="005F36B9">
        <w:rPr>
          <w:spacing w:val="-4"/>
          <w:lang w:val="kk-KZ"/>
        </w:rPr>
        <w:t xml:space="preserve">тыныс алудың бұзылуы, </w:t>
      </w:r>
      <w:r w:rsidR="000118FC" w:rsidRPr="005F36B9">
        <w:rPr>
          <w:spacing w:val="-4"/>
          <w:lang w:val="kk-KZ"/>
        </w:rPr>
        <w:t xml:space="preserve">өкпенің жедел ісінуі және тыныс алу жеткіліксіздігі туралы хабарланды. Өкпенің интерстициальді ауруымен астасқан қауіп факторларына ИБЛ дамуымен астасқан бұрын болған немесе қатар жүретін антинеопластикалық ем (таксаналар, гемцитабин, винорелбин және сәулемен емдеу) жатады. Қатерлі жаңа түзілімнің үдеуі және қатарлас аурулар салдарынан асқынулардың себебінен тыныш күйінде ентігуі бар пациенттер өкпе тарапынан бұзылулардың жоғары даму қаупіне ұшырауы мүмкін. Демек, осы пациенттерде </w:t>
      </w:r>
      <w:r w:rsidR="0050122F" w:rsidRPr="005F36B9">
        <w:rPr>
          <w:spacing w:val="-4"/>
          <w:lang w:val="kk-KZ"/>
        </w:rPr>
        <w:t>[САУДАЛЫҚ АТАУЫ]</w:t>
      </w:r>
      <w:r w:rsidR="000118FC" w:rsidRPr="005F36B9">
        <w:rPr>
          <w:spacing w:val="-4"/>
          <w:lang w:val="kk-KZ"/>
        </w:rPr>
        <w:t xml:space="preserve"> препарат</w:t>
      </w:r>
      <w:r w:rsidR="001A2D0D" w:rsidRPr="005F36B9">
        <w:rPr>
          <w:spacing w:val="-4"/>
          <w:lang w:val="kk-KZ"/>
        </w:rPr>
        <w:t xml:space="preserve">ымен ем жүргізуге болмайды (4.3 </w:t>
      </w:r>
      <w:r w:rsidR="000118FC" w:rsidRPr="005F36B9">
        <w:rPr>
          <w:spacing w:val="-4"/>
          <w:lang w:val="kk-KZ"/>
        </w:rPr>
        <w:t xml:space="preserve">бөлімді қараңыз). Пневмониттің даму қаупіне байланысты, әсіресе таксандармен қатар жүргізілетін ем алатын пациенттерде </w:t>
      </w:r>
      <w:r w:rsidRPr="005F36B9">
        <w:rPr>
          <w:spacing w:val="-4"/>
          <w:lang w:val="kk-KZ"/>
        </w:rPr>
        <w:t xml:space="preserve">сақ </w:t>
      </w:r>
      <w:r w:rsidR="00EE5761" w:rsidRPr="005F36B9">
        <w:rPr>
          <w:spacing w:val="-4"/>
          <w:lang w:val="kk-KZ"/>
        </w:rPr>
        <w:t>болу қажет.</w:t>
      </w:r>
    </w:p>
    <w:p w:rsidR="00BB36D9" w:rsidRPr="005F36B9" w:rsidRDefault="00BB36D9" w:rsidP="00722F40">
      <w:pPr>
        <w:jc w:val="both"/>
        <w:rPr>
          <w:spacing w:val="-4"/>
          <w:lang w:val="kk-KZ" w:eastAsia="ru-RU"/>
        </w:rPr>
      </w:pPr>
    </w:p>
    <w:p w:rsidR="00707D8A" w:rsidRPr="005F36B9" w:rsidRDefault="000118FC" w:rsidP="00722F40">
      <w:pPr>
        <w:jc w:val="both"/>
        <w:rPr>
          <w:b/>
          <w:spacing w:val="-4"/>
          <w:lang w:val="kk-KZ"/>
        </w:rPr>
      </w:pPr>
      <w:r w:rsidRPr="005F36B9">
        <w:rPr>
          <w:b/>
          <w:spacing w:val="-4"/>
          <w:lang w:val="kk-KZ"/>
        </w:rPr>
        <w:t>4.5 Басқа дәрілік препараттармен өзара әрекеттесуі және өзара әрекеттесудің басқа түрлері</w:t>
      </w:r>
    </w:p>
    <w:p w:rsidR="003871BB" w:rsidRPr="005F36B9" w:rsidRDefault="003871BB" w:rsidP="003871BB">
      <w:pPr>
        <w:pStyle w:val="a7"/>
        <w:jc w:val="both"/>
        <w:rPr>
          <w:rFonts w:ascii="Times New Roman" w:hAnsi="Times New Roman"/>
          <w:spacing w:val="-4"/>
          <w:sz w:val="24"/>
          <w:szCs w:val="24"/>
          <w:lang w:val="kk-KZ"/>
        </w:rPr>
      </w:pPr>
      <w:r w:rsidRPr="005F36B9">
        <w:rPr>
          <w:rFonts w:ascii="Times New Roman" w:hAnsi="Times New Roman"/>
          <w:spacing w:val="-4"/>
          <w:sz w:val="24"/>
          <w:szCs w:val="24"/>
          <w:lang w:val="kk-KZ"/>
        </w:rPr>
        <w:t>Дәрілік препараттармен өзара әрекеттесулерге арнайы зерттеулер жүргізілген жоқ. Трастузумабпен бірге тағайындалған препараттар арасындағы клиникалық маңызды өзара әрекеттесулер зерттеулерде байқалған жоқ.</w:t>
      </w:r>
    </w:p>
    <w:p w:rsidR="00DC4B2B" w:rsidRPr="005F36B9" w:rsidRDefault="000118FC" w:rsidP="00DC4B2B">
      <w:pPr>
        <w:jc w:val="both"/>
        <w:rPr>
          <w:i/>
          <w:spacing w:val="-4"/>
          <w:lang w:val="ru-RU"/>
        </w:rPr>
      </w:pPr>
      <w:r w:rsidRPr="005F36B9">
        <w:rPr>
          <w:i/>
          <w:spacing w:val="-4"/>
          <w:lang w:val="kk-KZ"/>
        </w:rPr>
        <w:t>Басқа антинеопластикалық препараттардың фармакокинетикасына трастузумабтың әсері</w:t>
      </w:r>
    </w:p>
    <w:p w:rsidR="00DC4B2B" w:rsidRPr="005F36B9" w:rsidRDefault="000118FC" w:rsidP="00126D81">
      <w:pPr>
        <w:jc w:val="both"/>
        <w:rPr>
          <w:spacing w:val="-4"/>
          <w:lang w:val="ru-RU"/>
        </w:rPr>
      </w:pPr>
      <w:r w:rsidRPr="005F36B9">
        <w:rPr>
          <w:spacing w:val="-4"/>
          <w:lang w:val="kk-KZ"/>
        </w:rPr>
        <w:t xml:space="preserve">HER2-оң СБмО-ға шалдыққан пациенттердің қатысуымен ВО15935 және М77004 </w:t>
      </w:r>
      <w:r w:rsidRPr="005F36B9">
        <w:rPr>
          <w:spacing w:val="-4"/>
          <w:lang w:val="kk-KZ"/>
        </w:rPr>
        <w:lastRenderedPageBreak/>
        <w:t>зерттеулерінде алынған фармакокинетикалық деректер паклитаксел мен доксорубициннің әсері (сондай-ақ олардың негізгі метаболиттері 6-α-гидроксил-паклитаксел (POH) және доксорубицинол (DOL)) трастузумабтың қатысуымен (8 мг/кг немесе 4 мг/кг венаішілік жүктеме дозасы, содан кейін 6 мг/кг дозаны 3 аптада бір рет немесе тиісінше 2 мг/кг аптасына бір рет вена ішіне енгізу) өзгермейтіні туралы куәландырады.</w:t>
      </w:r>
    </w:p>
    <w:p w:rsidR="00306663" w:rsidRPr="005F36B9" w:rsidRDefault="000118FC" w:rsidP="00DC4B2B">
      <w:pPr>
        <w:jc w:val="both"/>
        <w:rPr>
          <w:spacing w:val="-4"/>
          <w:lang w:val="kk-KZ"/>
        </w:rPr>
      </w:pPr>
      <w:r w:rsidRPr="005F36B9">
        <w:rPr>
          <w:spacing w:val="-4"/>
          <w:lang w:val="kk-KZ"/>
        </w:rPr>
        <w:t xml:space="preserve">Алайда трастузумаб доксорубицин метаболиттерінің бірінің (7-дезокси-13-дигидродоксорубицинон, D7D) жиынтық концентрациясын арттыруы мүмкін. D7D биологиялық белсенділігі және оның концентрациясының жоғарылауының клиникалық маңызы белгісіз. </w:t>
      </w:r>
    </w:p>
    <w:p w:rsidR="00664AE5" w:rsidRPr="005F36B9" w:rsidRDefault="007169D6" w:rsidP="00664AE5">
      <w:pPr>
        <w:jc w:val="both"/>
        <w:rPr>
          <w:spacing w:val="-4"/>
          <w:lang w:val="kk-KZ"/>
        </w:rPr>
      </w:pPr>
      <w:r w:rsidRPr="005F36B9">
        <w:rPr>
          <w:spacing w:val="-4"/>
          <w:lang w:val="kk-KZ"/>
        </w:rPr>
        <w:t xml:space="preserve">Трастузумаб </w:t>
      </w:r>
      <w:r w:rsidR="000118FC" w:rsidRPr="005F36B9">
        <w:rPr>
          <w:spacing w:val="-4"/>
          <w:lang w:val="kk-KZ"/>
        </w:rPr>
        <w:t xml:space="preserve">(жүктеме дозасы 4 мг/кг вена ішіне және 2 мг/кг аптасына бір рет вена ішіне) </w:t>
      </w:r>
      <w:r w:rsidRPr="005F36B9">
        <w:rPr>
          <w:spacing w:val="-4"/>
          <w:lang w:val="kk-KZ"/>
        </w:rPr>
        <w:t>және</w:t>
      </w:r>
      <w:r w:rsidR="000118FC" w:rsidRPr="005F36B9">
        <w:rPr>
          <w:spacing w:val="-4"/>
          <w:lang w:val="kk-KZ"/>
        </w:rPr>
        <w:t xml:space="preserve"> доцетаксел (60 мг/м</w:t>
      </w:r>
      <w:r w:rsidR="000118FC" w:rsidRPr="005F36B9">
        <w:rPr>
          <w:spacing w:val="-4"/>
          <w:vertAlign w:val="superscript"/>
          <w:lang w:val="kk-KZ"/>
        </w:rPr>
        <w:t>2</w:t>
      </w:r>
      <w:r w:rsidR="000118FC" w:rsidRPr="005F36B9">
        <w:rPr>
          <w:spacing w:val="-4"/>
          <w:lang w:val="kk-KZ"/>
        </w:rPr>
        <w:t xml:space="preserve">вена ішіне) қолданылған, НЕR2-оң СБмО-ға шалдыққан жапониялық әйел пациенттер қатысқан бақыланбайтын JP16003 зерттеу деректері </w:t>
      </w:r>
      <w:r w:rsidRPr="005F36B9">
        <w:rPr>
          <w:spacing w:val="-4"/>
          <w:lang w:val="kk-KZ"/>
        </w:rPr>
        <w:t xml:space="preserve">трастузумабты </w:t>
      </w:r>
      <w:r w:rsidR="000118FC" w:rsidRPr="005F36B9">
        <w:rPr>
          <w:spacing w:val="-4"/>
          <w:lang w:val="kk-KZ"/>
        </w:rPr>
        <w:t xml:space="preserve">бірге енгізу бір рет енгізгеннен кейін доцетакселдің фармакокинетикасына әсер етпейді деп болжауға мүмкіндік береді. </w:t>
      </w:r>
    </w:p>
    <w:p w:rsidR="00DC4B2B" w:rsidRPr="005F36B9" w:rsidRDefault="000118FC" w:rsidP="0051784F">
      <w:pPr>
        <w:jc w:val="both"/>
        <w:rPr>
          <w:spacing w:val="-4"/>
          <w:lang w:val="kk-KZ"/>
        </w:rPr>
      </w:pPr>
      <w:r w:rsidRPr="005F36B9">
        <w:rPr>
          <w:spacing w:val="-4"/>
          <w:lang w:val="kk-KZ"/>
        </w:rPr>
        <w:t xml:space="preserve">JP19959 зерттеуі </w:t>
      </w:r>
      <w:r w:rsidR="007169D6" w:rsidRPr="005F36B9">
        <w:rPr>
          <w:spacing w:val="-4"/>
          <w:lang w:val="kk-KZ"/>
        </w:rPr>
        <w:t xml:space="preserve">трастузумабты </w:t>
      </w:r>
      <w:r w:rsidRPr="005F36B9">
        <w:rPr>
          <w:spacing w:val="-4"/>
          <w:lang w:val="kk-KZ"/>
        </w:rPr>
        <w:t xml:space="preserve">бірге немесе одан бөлек қолданылатын капецитабиннің және цисплатиннің фармакокинетикалық параметрлерін зерттеу бойынша BO18255 (ToGA) қосалқы зерттеуі болып табылады, оған кең таралған асқазанның обырына шалдыққан жапониялық еркек және әйел пациенттер қатысты. Қосалқы зерттеу нәтижелері цисплатинді немесе </w:t>
      </w:r>
      <w:r w:rsidR="007169D6" w:rsidRPr="005F36B9">
        <w:rPr>
          <w:spacing w:val="-4"/>
          <w:lang w:val="kk-KZ"/>
        </w:rPr>
        <w:t xml:space="preserve">трастузумабпен </w:t>
      </w:r>
      <w:r w:rsidRPr="005F36B9">
        <w:rPr>
          <w:spacing w:val="-4"/>
          <w:lang w:val="kk-KZ"/>
        </w:rPr>
        <w:t>цисплатинді</w:t>
      </w:r>
      <w:r w:rsidR="007169D6" w:rsidRPr="005F36B9">
        <w:rPr>
          <w:spacing w:val="-4"/>
          <w:lang w:val="kk-KZ"/>
        </w:rPr>
        <w:t xml:space="preserve"> </w:t>
      </w:r>
      <w:r w:rsidRPr="005F36B9">
        <w:rPr>
          <w:spacing w:val="-4"/>
          <w:lang w:val="kk-KZ"/>
        </w:rPr>
        <w:t xml:space="preserve">біріктіріп қолдану капецитабин метаболиттерінің биологиялық белсенділігіне (мысалы, 5-ФУ) әсер етпейтінін көрсетті. Алайда </w:t>
      </w:r>
      <w:r w:rsidR="007169D6" w:rsidRPr="005F36B9">
        <w:rPr>
          <w:spacing w:val="-4"/>
          <w:lang w:val="kk-KZ"/>
        </w:rPr>
        <w:t xml:space="preserve">трастузумабты </w:t>
      </w:r>
      <w:r w:rsidRPr="005F36B9">
        <w:rPr>
          <w:spacing w:val="-4"/>
          <w:lang w:val="kk-KZ"/>
        </w:rPr>
        <w:t xml:space="preserve">бірге қолдану капецитабин концентрациясының жоғарылауына және оның жартылай шығарылу кезеңінің ұлғаюына әкелді. Деректер сондай-ақ капецитабинді немесе </w:t>
      </w:r>
      <w:r w:rsidR="007169D6" w:rsidRPr="005F36B9">
        <w:rPr>
          <w:spacing w:val="-4"/>
          <w:lang w:val="kk-KZ"/>
        </w:rPr>
        <w:t xml:space="preserve">трастузумабпен </w:t>
      </w:r>
      <w:r w:rsidRPr="005F36B9">
        <w:rPr>
          <w:spacing w:val="-4"/>
          <w:lang w:val="kk-KZ"/>
        </w:rPr>
        <w:t>капецитабинді біріктіріп қолдану цисплатиннің фармакокинетикасына әсер етпейтінін көрсетеді.</w:t>
      </w:r>
    </w:p>
    <w:p w:rsidR="00DC4B2B" w:rsidRPr="005F36B9" w:rsidRDefault="000118FC" w:rsidP="00DC4B2B">
      <w:pPr>
        <w:jc w:val="both"/>
        <w:rPr>
          <w:spacing w:val="-4"/>
          <w:lang w:val="kk-KZ"/>
        </w:rPr>
      </w:pPr>
      <w:r w:rsidRPr="005F36B9">
        <w:rPr>
          <w:spacing w:val="-4"/>
          <w:lang w:val="kk-KZ"/>
        </w:rPr>
        <w:t>Метастаздық немесе жергілікті-таралған операция жасауға болмайтын HER2-оң обырына шалдыққан пациенттердің қатысуымен H4613g/GO01305 зерттеуі барысында алынған фармакокинетикалық деректер карбоплатиннің фармакокинетикасына трастузумаб әсер етпейтінін көрсетеді.</w:t>
      </w:r>
    </w:p>
    <w:p w:rsidR="00DC4B2B" w:rsidRPr="005F36B9" w:rsidRDefault="000118FC" w:rsidP="00DC4B2B">
      <w:pPr>
        <w:jc w:val="both"/>
        <w:rPr>
          <w:spacing w:val="-4"/>
          <w:lang w:val="kk-KZ"/>
        </w:rPr>
      </w:pPr>
      <w:r w:rsidRPr="005F36B9">
        <w:rPr>
          <w:i/>
          <w:spacing w:val="-4"/>
          <w:lang w:val="kk-KZ"/>
        </w:rPr>
        <w:t>Трастузумабтың фармакокинетикасына антинеопластикалық препараттардың әсері</w:t>
      </w:r>
    </w:p>
    <w:p w:rsidR="00BB39F8" w:rsidRPr="005F36B9" w:rsidRDefault="0087731F" w:rsidP="00DC4B2B">
      <w:pPr>
        <w:jc w:val="both"/>
        <w:rPr>
          <w:spacing w:val="-4"/>
          <w:lang w:val="kk-KZ"/>
        </w:rPr>
      </w:pPr>
      <w:r w:rsidRPr="005F36B9">
        <w:rPr>
          <w:spacing w:val="-4"/>
          <w:lang w:val="kk-KZ"/>
        </w:rPr>
        <w:t xml:space="preserve">трастузумабты </w:t>
      </w:r>
      <w:r w:rsidR="000118FC" w:rsidRPr="005F36B9">
        <w:rPr>
          <w:spacing w:val="-4"/>
          <w:lang w:val="kk-KZ"/>
        </w:rPr>
        <w:t xml:space="preserve">монотерапиядан кейін трастузумабтың модельденген сарысулық концентрациясын (жүктеме дозасы аптасына бір рет 4 мг/кг және 2 мг/кг вена ішіне) және HER2-оң СБмО-ға шалдыққан (JP16003 зерттеуі) жапониялық әйел пациенттерде препараттың бақыланатын сарысулық концентрациясын салыстыру кезінде </w:t>
      </w:r>
      <w:bookmarkStart w:id="5" w:name="_Hlk63890903"/>
      <w:r w:rsidR="000118FC" w:rsidRPr="005F36B9">
        <w:rPr>
          <w:spacing w:val="-4"/>
          <w:lang w:val="kk-KZ"/>
        </w:rPr>
        <w:t>доцетакселмен бірге қолданғанда трастузумаб фармакокинетикасына әсері туралы дәлелдер табылған жоқ.</w:t>
      </w:r>
    </w:p>
    <w:bookmarkEnd w:id="5"/>
    <w:p w:rsidR="00DC4B2B" w:rsidRPr="005F36B9" w:rsidRDefault="000118FC" w:rsidP="00DC4B2B">
      <w:pPr>
        <w:jc w:val="both"/>
        <w:rPr>
          <w:spacing w:val="-4"/>
          <w:lang w:val="kk-KZ"/>
        </w:rPr>
      </w:pPr>
      <w:r w:rsidRPr="005F36B9">
        <w:rPr>
          <w:spacing w:val="-4"/>
          <w:lang w:val="kk-KZ"/>
        </w:rPr>
        <w:t xml:space="preserve">Пациенттер паклитакселмен біріктірілімдегі </w:t>
      </w:r>
      <w:r w:rsidR="0087731F" w:rsidRPr="005F36B9">
        <w:rPr>
          <w:spacing w:val="-4"/>
          <w:lang w:val="kk-KZ"/>
        </w:rPr>
        <w:t xml:space="preserve">трастузумабты </w:t>
      </w:r>
      <w:r w:rsidRPr="005F36B9">
        <w:rPr>
          <w:spacing w:val="-4"/>
          <w:lang w:val="kk-KZ"/>
        </w:rPr>
        <w:t xml:space="preserve">алған II фазаның екі зерттеуі (BO15935 және M77004) және III фазаның бір зерттеуі (H0648g) барысында алынған фармакокинетикалық деректерді және HER2-оң СБмО-ға шалдыққан әйелдерде </w:t>
      </w:r>
      <w:r w:rsidR="0087731F" w:rsidRPr="005F36B9">
        <w:rPr>
          <w:spacing w:val="-4"/>
          <w:lang w:val="kk-KZ"/>
        </w:rPr>
        <w:t xml:space="preserve">трастузумабты </w:t>
      </w:r>
      <w:r w:rsidRPr="005F36B9">
        <w:rPr>
          <w:spacing w:val="-4"/>
          <w:lang w:val="kk-KZ"/>
        </w:rPr>
        <w:t xml:space="preserve">монотерапия ретінде (WO16229 және MO16982) қолдана отырып, II-фазаның екі зерттеуі барысында алынған деректерді салыстыру трастузумабтың жеке және орташа ең төменгі сарысулық концентрацияларының бір зерттеу шегінде де, әртүрлі зерттеулерде де құбылмалығын көрсетеді, алайда </w:t>
      </w:r>
      <w:bookmarkStart w:id="6" w:name="_Hlk63890911"/>
      <w:r w:rsidRPr="005F36B9">
        <w:rPr>
          <w:spacing w:val="-4"/>
          <w:lang w:val="kk-KZ"/>
        </w:rPr>
        <w:t>паклитакселді бірге қолданудан трастузумабтың фармакокинетикасына айқын әсері анықталған жоқ</w:t>
      </w:r>
      <w:bookmarkEnd w:id="6"/>
      <w:r w:rsidRPr="005F36B9">
        <w:rPr>
          <w:spacing w:val="-4"/>
          <w:lang w:val="kk-KZ"/>
        </w:rPr>
        <w:t xml:space="preserve">. HER2-оң СБеО-ға шалдыққан пациенттер </w:t>
      </w:r>
      <w:r w:rsidR="0087731F" w:rsidRPr="005F36B9">
        <w:rPr>
          <w:spacing w:val="-4"/>
          <w:lang w:val="kk-KZ"/>
        </w:rPr>
        <w:t>трастузумабты</w:t>
      </w:r>
      <w:r w:rsidRPr="005F36B9">
        <w:rPr>
          <w:spacing w:val="-4"/>
          <w:lang w:val="kk-KZ"/>
        </w:rPr>
        <w:t xml:space="preserve">, паклитакселді және доксорубицинді алған M77004 зерттеуіндегі трастузумабтың фармакокинетикалық параметрлерін монотерапияда </w:t>
      </w:r>
      <w:r w:rsidR="0087731F" w:rsidRPr="005F36B9">
        <w:rPr>
          <w:spacing w:val="-4"/>
          <w:lang w:val="kk-KZ"/>
        </w:rPr>
        <w:t xml:space="preserve">трастузумабты </w:t>
      </w:r>
      <w:r w:rsidRPr="005F36B9">
        <w:rPr>
          <w:spacing w:val="-4"/>
          <w:lang w:val="kk-KZ"/>
        </w:rPr>
        <w:t>қолданылған (H0649g) немесе антрациклинмен және циклофосфамидпен немесе паклит</w:t>
      </w:r>
      <w:r w:rsidR="000E3503" w:rsidRPr="005F36B9">
        <w:rPr>
          <w:spacing w:val="-4"/>
          <w:lang w:val="kk-KZ"/>
        </w:rPr>
        <w:t>акселмен біріктірілімдегі (H0648</w:t>
      </w:r>
      <w:r w:rsidRPr="005F36B9">
        <w:rPr>
          <w:spacing w:val="-4"/>
          <w:lang w:val="kk-KZ"/>
        </w:rPr>
        <w:t>g зерттеу) зерттеулердегі трастузумабтың фармакокинетикалық параметрлерімен салыстыру</w:t>
      </w:r>
      <w:bookmarkStart w:id="7" w:name="_Hlk63891075"/>
      <w:r w:rsidRPr="005F36B9">
        <w:rPr>
          <w:spacing w:val="-4"/>
          <w:lang w:val="kk-KZ"/>
        </w:rPr>
        <w:t>трастузумабтың фармакокинетикасына доксорубицин мен паклитакселдің әсерін көрсетпеген.</w:t>
      </w:r>
    </w:p>
    <w:bookmarkEnd w:id="7"/>
    <w:p w:rsidR="00DC4B2B" w:rsidRPr="005F36B9" w:rsidRDefault="000118FC" w:rsidP="00DC4B2B">
      <w:pPr>
        <w:jc w:val="both"/>
        <w:rPr>
          <w:spacing w:val="-4"/>
          <w:lang w:val="kk-KZ"/>
        </w:rPr>
      </w:pPr>
      <w:r w:rsidRPr="005F36B9">
        <w:rPr>
          <w:spacing w:val="-4"/>
          <w:lang w:val="kk-KZ"/>
        </w:rPr>
        <w:t xml:space="preserve">H4613g/GO01305 зерттеуінде алынған фармакокинетикалық деректер </w:t>
      </w:r>
      <w:bookmarkStart w:id="8" w:name="_Hlk63890920"/>
      <w:r w:rsidRPr="005F36B9">
        <w:rPr>
          <w:spacing w:val="-4"/>
          <w:lang w:val="kk-KZ"/>
        </w:rPr>
        <w:t>карбоплатиннің трастузумаб фармакокинетикасына әсер етпейтінін көрсетеді.</w:t>
      </w:r>
    </w:p>
    <w:p w:rsidR="00DC4B2B" w:rsidRPr="005F36B9" w:rsidRDefault="000118FC" w:rsidP="00DC4B2B">
      <w:pPr>
        <w:jc w:val="both"/>
        <w:rPr>
          <w:spacing w:val="-4"/>
          <w:lang w:val="kk-KZ"/>
        </w:rPr>
      </w:pPr>
      <w:r w:rsidRPr="005F36B9">
        <w:rPr>
          <w:spacing w:val="-4"/>
          <w:lang w:val="kk-KZ"/>
        </w:rPr>
        <w:t>Анастрозолды бірге қолдану трастузумабтың фармакокинетикасына әсер етпейді.</w:t>
      </w:r>
    </w:p>
    <w:bookmarkEnd w:id="8"/>
    <w:p w:rsidR="00433514" w:rsidRPr="005F36B9" w:rsidRDefault="00433514" w:rsidP="00433514">
      <w:pPr>
        <w:jc w:val="both"/>
        <w:rPr>
          <w:spacing w:val="-4"/>
          <w:lang w:val="kk-KZ"/>
        </w:rPr>
      </w:pPr>
    </w:p>
    <w:p w:rsidR="00707D8A" w:rsidRPr="005F36B9" w:rsidRDefault="000118FC" w:rsidP="00722F40">
      <w:pPr>
        <w:jc w:val="both"/>
        <w:rPr>
          <w:b/>
          <w:spacing w:val="-4"/>
          <w:lang w:val="kk-KZ"/>
        </w:rPr>
      </w:pPr>
      <w:r w:rsidRPr="005F36B9">
        <w:rPr>
          <w:b/>
          <w:spacing w:val="-4"/>
          <w:lang w:val="kk-KZ"/>
        </w:rPr>
        <w:t>4.6 Фертильділік, жүктілік және лактация</w:t>
      </w:r>
    </w:p>
    <w:p w:rsidR="00FB3993" w:rsidRPr="005F36B9" w:rsidRDefault="000118FC" w:rsidP="00FB3993">
      <w:pPr>
        <w:jc w:val="both"/>
        <w:rPr>
          <w:i/>
          <w:spacing w:val="-4"/>
          <w:lang w:val="kk-KZ"/>
        </w:rPr>
      </w:pPr>
      <w:bookmarkStart w:id="9" w:name="_Hlk63891388"/>
      <w:r w:rsidRPr="005F36B9">
        <w:rPr>
          <w:i/>
          <w:spacing w:val="-4"/>
          <w:lang w:val="kk-KZ"/>
        </w:rPr>
        <w:t>Бала туу әлеуеті сақталған әйелдер/контрацепция</w:t>
      </w:r>
    </w:p>
    <w:p w:rsidR="00FB3993" w:rsidRPr="005F36B9" w:rsidRDefault="000118FC" w:rsidP="00FB3993">
      <w:pPr>
        <w:jc w:val="both"/>
        <w:rPr>
          <w:rFonts w:ascii="Arial" w:hAnsi="Arial" w:cs="Arial"/>
          <w:spacing w:val="-4"/>
          <w:lang w:val="kk-KZ"/>
        </w:rPr>
      </w:pPr>
      <w:r w:rsidRPr="005F36B9">
        <w:rPr>
          <w:spacing w:val="-4"/>
          <w:lang w:val="kk-KZ"/>
        </w:rPr>
        <w:t xml:space="preserve">Бала туу әлеуеті сақталған әйелдерге </w:t>
      </w:r>
      <w:r w:rsidR="0050122F" w:rsidRPr="005F36B9">
        <w:rPr>
          <w:spacing w:val="-4"/>
          <w:lang w:val="kk-KZ"/>
        </w:rPr>
        <w:t>[САУДАЛЫҚ АТАУЫ]</w:t>
      </w:r>
      <w:r w:rsidRPr="005F36B9">
        <w:rPr>
          <w:spacing w:val="-4"/>
          <w:lang w:val="kk-KZ"/>
        </w:rPr>
        <w:t xml:space="preserve"> препаратымен емдеу кезінде және ол аяқталғаннан кейін 7 ай ішінде контрацепцияның тиімді әдістерін пайдалану қажет </w:t>
      </w:r>
      <w:bookmarkEnd w:id="9"/>
      <w:r w:rsidRPr="005F36B9">
        <w:rPr>
          <w:spacing w:val="-4"/>
          <w:lang w:val="kk-KZ"/>
        </w:rPr>
        <w:t>(5.2</w:t>
      </w:r>
      <w:r w:rsidR="00011A33" w:rsidRPr="005F36B9">
        <w:rPr>
          <w:spacing w:val="-4"/>
          <w:lang w:val="kk-KZ"/>
        </w:rPr>
        <w:t xml:space="preserve"> </w:t>
      </w:r>
      <w:r w:rsidRPr="005F36B9">
        <w:rPr>
          <w:spacing w:val="-4"/>
          <w:lang w:val="kk-KZ"/>
        </w:rPr>
        <w:t>бөлімді қараңыз).</w:t>
      </w:r>
    </w:p>
    <w:p w:rsidR="00FB3993" w:rsidRPr="005F36B9" w:rsidRDefault="000118FC" w:rsidP="00FB3993">
      <w:pPr>
        <w:ind w:right="-20"/>
        <w:jc w:val="both"/>
        <w:rPr>
          <w:i/>
          <w:spacing w:val="-4"/>
          <w:lang w:val="kk-KZ" w:eastAsia="ja-JP"/>
        </w:rPr>
      </w:pPr>
      <w:r w:rsidRPr="005F36B9">
        <w:rPr>
          <w:i/>
          <w:spacing w:val="-4"/>
          <w:lang w:val="kk-KZ" w:eastAsia="ja-JP"/>
        </w:rPr>
        <w:t>Жүктілік</w:t>
      </w:r>
    </w:p>
    <w:p w:rsidR="00FB3993" w:rsidRPr="005F36B9" w:rsidRDefault="000118FC" w:rsidP="00FB3993">
      <w:pPr>
        <w:jc w:val="both"/>
        <w:rPr>
          <w:spacing w:val="-4"/>
          <w:lang w:val="kk-KZ"/>
        </w:rPr>
      </w:pPr>
      <w:r w:rsidRPr="005F36B9">
        <w:rPr>
          <w:spacing w:val="-4"/>
          <w:lang w:val="kk-KZ"/>
        </w:rPr>
        <w:t xml:space="preserve">Адамда 2 мг/кг вена ішіне енгізуге арналған </w:t>
      </w:r>
      <w:r w:rsidR="00BF1259" w:rsidRPr="005F36B9">
        <w:rPr>
          <w:spacing w:val="-4"/>
          <w:lang w:val="kk-KZ"/>
        </w:rPr>
        <w:t xml:space="preserve">дәрілік түрдегі </w:t>
      </w:r>
      <w:r w:rsidR="0087731F" w:rsidRPr="005F36B9">
        <w:rPr>
          <w:spacing w:val="-4"/>
          <w:lang w:val="kk-KZ"/>
        </w:rPr>
        <w:t>трастузумабт</w:t>
      </w:r>
      <w:r w:rsidRPr="005F36B9">
        <w:rPr>
          <w:spacing w:val="-4"/>
          <w:lang w:val="kk-KZ"/>
        </w:rPr>
        <w:t>ың апта сайынғы демеуші дозасынан 25 есе асатын дозаларды пайдалана отырып, явалық макакалардағы репродуктивтік уыттылықты зерттеу фертильділік төмендеу немесе ұрыққа теріс әсердің дәлелі анықталған жоқ. Трастузумабтың плацентарлы ауысуы ұрық дамуының ерте (жүктіліктің 20-50 күндері) және кеш (жүктіліктің 120-150 күндері) кезеңдерінде байқалды.</w:t>
      </w:r>
    </w:p>
    <w:p w:rsidR="00FB3993" w:rsidRPr="005F36B9" w:rsidRDefault="0087731F" w:rsidP="00FB3993">
      <w:pPr>
        <w:jc w:val="both"/>
        <w:rPr>
          <w:spacing w:val="-4"/>
          <w:lang w:val="kk-KZ"/>
        </w:rPr>
      </w:pPr>
      <w:r w:rsidRPr="005F36B9">
        <w:rPr>
          <w:spacing w:val="-4"/>
          <w:lang w:val="kk-KZ"/>
        </w:rPr>
        <w:t>Трастузумабты</w:t>
      </w:r>
      <w:r w:rsidR="000118FC" w:rsidRPr="005F36B9">
        <w:rPr>
          <w:spacing w:val="-4"/>
          <w:lang w:val="kk-KZ"/>
        </w:rPr>
        <w:t xml:space="preserve">ң репродуктивті функцияға әсер ететіні белгісіз. Жануарлардағы репродуктивті уыттылықты зерттеу адамдарда препаратпен жүргізілген емге жауапты дұрыс болжауға әрдайым мүмкіндік бермейтіндігін ескере отырып, </w:t>
      </w:r>
      <w:bookmarkStart w:id="10" w:name="_Hlk63891645"/>
      <w:r w:rsidR="000118FC" w:rsidRPr="005F36B9">
        <w:rPr>
          <w:spacing w:val="-4"/>
          <w:lang w:val="kk-KZ"/>
        </w:rPr>
        <w:t xml:space="preserve">егер ана үшін мүмкін болатын пайда шарана үшін ықтимал қауіптен аспаса, жүктілік кезінде </w:t>
      </w:r>
      <w:r w:rsidR="0050122F" w:rsidRPr="005F36B9">
        <w:rPr>
          <w:spacing w:val="-4"/>
          <w:lang w:val="kk-KZ"/>
        </w:rPr>
        <w:t>[САУДАЛЫҚ АТАУЫ]</w:t>
      </w:r>
      <w:r w:rsidR="000118FC" w:rsidRPr="005F36B9">
        <w:rPr>
          <w:spacing w:val="-4"/>
          <w:lang w:val="kk-KZ"/>
        </w:rPr>
        <w:t xml:space="preserve"> препаратын қолданудан аулақ болу керек.</w:t>
      </w:r>
    </w:p>
    <w:bookmarkEnd w:id="10"/>
    <w:p w:rsidR="00FB3993" w:rsidRPr="005F36B9" w:rsidRDefault="000118FC" w:rsidP="00FB3993">
      <w:pPr>
        <w:jc w:val="both"/>
        <w:rPr>
          <w:spacing w:val="-4"/>
          <w:lang w:val="kk-KZ"/>
        </w:rPr>
      </w:pPr>
      <w:r w:rsidRPr="005F36B9">
        <w:rPr>
          <w:spacing w:val="-4"/>
          <w:lang w:val="kk-KZ"/>
        </w:rPr>
        <w:t xml:space="preserve">Тіркеуден кейінгі кезеңде </w:t>
      </w:r>
      <w:r w:rsidR="0050122F" w:rsidRPr="005F36B9">
        <w:rPr>
          <w:spacing w:val="-4"/>
          <w:lang w:val="kk-KZ"/>
        </w:rPr>
        <w:t>[САУДАЛЫҚ АТАУЫ]</w:t>
      </w:r>
      <w:r w:rsidRPr="005F36B9">
        <w:rPr>
          <w:spacing w:val="-4"/>
          <w:lang w:val="kk-KZ"/>
        </w:rPr>
        <w:t xml:space="preserve"> препаратын қабылдаған жүкті әйелдерде олигогидрамнион аясында шаранада дамудың және/немесе бүйрек функциясының бұзылу жағдайлары байқалды, кейбір жағдайларда шарананың өлімге әкелетін өкпе гипоплазиясымен байланысты болған. Жүктілік басталған жағдайда шаранаға теріс әсер ету мүмкіндігі туралы әйелді ескерту қажет. Егер жүкті әйел </w:t>
      </w:r>
      <w:r w:rsidR="0050122F" w:rsidRPr="005F36B9">
        <w:rPr>
          <w:spacing w:val="-4"/>
          <w:lang w:val="kk-KZ"/>
        </w:rPr>
        <w:t>[САУДАЛЫҚ АТАУЫ]</w:t>
      </w:r>
      <w:r w:rsidRPr="005F36B9">
        <w:rPr>
          <w:spacing w:val="-4"/>
          <w:lang w:val="kk-KZ"/>
        </w:rPr>
        <w:t xml:space="preserve"> препаратымен ем қабылдаса немесе егер әйелде емдеу кезінде немесе препараттың соңғы дозасын қабылдағаннан кейін 7 ай ішінде жүктілік басталса, әртүрлі бейіндегі мамандардың қатысуымен мұқият бақылау ұсынылады.</w:t>
      </w:r>
    </w:p>
    <w:p w:rsidR="00FB3993" w:rsidRPr="005F36B9" w:rsidRDefault="000118FC" w:rsidP="00FB3993">
      <w:pPr>
        <w:ind w:right="-20"/>
        <w:jc w:val="both"/>
        <w:rPr>
          <w:i/>
          <w:spacing w:val="-4"/>
          <w:lang w:val="kk-KZ" w:eastAsia="ja-JP"/>
        </w:rPr>
      </w:pPr>
      <w:r w:rsidRPr="005F36B9">
        <w:rPr>
          <w:i/>
          <w:spacing w:val="-4"/>
          <w:lang w:val="kk-KZ" w:eastAsia="ja-JP"/>
        </w:rPr>
        <w:t>Бала емізу</w:t>
      </w:r>
    </w:p>
    <w:p w:rsidR="00FB3993" w:rsidRPr="005F36B9" w:rsidRDefault="000118FC" w:rsidP="00FB3993">
      <w:pPr>
        <w:jc w:val="both"/>
        <w:rPr>
          <w:spacing w:val="-4"/>
          <w:lang w:val="kk-KZ"/>
        </w:rPr>
      </w:pPr>
      <w:r w:rsidRPr="005F36B9">
        <w:rPr>
          <w:spacing w:val="-4"/>
          <w:lang w:val="kk-KZ"/>
        </w:rPr>
        <w:t xml:space="preserve">Адамда 2 мг/кг вена ішіне енгізуге арналған </w:t>
      </w:r>
      <w:r w:rsidR="00BF1259" w:rsidRPr="005F36B9">
        <w:rPr>
          <w:spacing w:val="-4"/>
          <w:lang w:val="kk-KZ"/>
        </w:rPr>
        <w:t xml:space="preserve">дәрілік түрдегі </w:t>
      </w:r>
      <w:r w:rsidR="00FD5C76" w:rsidRPr="005F36B9">
        <w:rPr>
          <w:spacing w:val="-4"/>
          <w:lang w:val="kk-KZ"/>
        </w:rPr>
        <w:t>трастузумабты</w:t>
      </w:r>
      <w:r w:rsidRPr="005F36B9">
        <w:rPr>
          <w:spacing w:val="-4"/>
          <w:lang w:val="kk-KZ"/>
        </w:rPr>
        <w:t xml:space="preserve">ң апта сайынғы демеуші дозасынан 25 есе асатын дозаларды пайдалана отырып зерттеу лактацияланатын явалық макакаларда трастузумабтың емшек сүтімен бөлінетінін көрсетті. Жаңа туылған макакалардың сарысуында трастузумабтың бар болуы туылған сәттен бастап бір айлық жасқа дейін олардың өсуіне немесе дамуына қандай да бір қолайсыз әсермен байланысты болмаған. Трастузумаб адамда емшек сүтімен бөлінетіні белгісіз. Адамның IgG1 емшек сүтіне секрецияланатындықтан және нәресте үшін ықтимал зиян белгісіз болғандықтан, </w:t>
      </w:r>
      <w:bookmarkStart w:id="11" w:name="_Hlk63891703"/>
      <w:r w:rsidRPr="005F36B9">
        <w:rPr>
          <w:spacing w:val="-4"/>
          <w:lang w:val="kk-KZ"/>
        </w:rPr>
        <w:t xml:space="preserve">емдеу кезінде және </w:t>
      </w:r>
      <w:r w:rsidR="0050122F" w:rsidRPr="005F36B9">
        <w:rPr>
          <w:spacing w:val="-4"/>
          <w:lang w:val="kk-KZ"/>
        </w:rPr>
        <w:t>[САУДАЛЫҚ АТАУЫ]</w:t>
      </w:r>
      <w:r w:rsidRPr="005F36B9">
        <w:rPr>
          <w:spacing w:val="-4"/>
          <w:lang w:val="kk-KZ"/>
        </w:rPr>
        <w:t xml:space="preserve"> препаратының соңғы дозасын қабылдағаннан кейін 7 ай ішінде емізу ұсынылмайды.</w:t>
      </w:r>
    </w:p>
    <w:bookmarkEnd w:id="11"/>
    <w:p w:rsidR="00FB3993" w:rsidRPr="005F36B9" w:rsidRDefault="000118FC" w:rsidP="00FB3993">
      <w:pPr>
        <w:ind w:right="-20"/>
        <w:jc w:val="both"/>
        <w:rPr>
          <w:i/>
          <w:spacing w:val="-4"/>
          <w:lang w:val="kk-KZ" w:eastAsia="ja-JP"/>
        </w:rPr>
      </w:pPr>
      <w:r w:rsidRPr="005F36B9">
        <w:rPr>
          <w:i/>
          <w:spacing w:val="-4"/>
          <w:lang w:val="kk-KZ" w:eastAsia="ja-JP"/>
        </w:rPr>
        <w:t>Фертильділігі</w:t>
      </w:r>
    </w:p>
    <w:p w:rsidR="00FB3993" w:rsidRPr="005F36B9" w:rsidRDefault="000118FC" w:rsidP="00FB3993">
      <w:pPr>
        <w:jc w:val="both"/>
        <w:rPr>
          <w:spacing w:val="-4"/>
          <w:lang w:val="kk-KZ"/>
        </w:rPr>
      </w:pPr>
      <w:r w:rsidRPr="005F36B9">
        <w:rPr>
          <w:spacing w:val="-4"/>
          <w:lang w:val="kk-KZ"/>
        </w:rPr>
        <w:t>Препараттың фертильділікке әсері туралы деректер жоқ.</w:t>
      </w:r>
    </w:p>
    <w:p w:rsidR="001A07F2" w:rsidRPr="005F36B9" w:rsidRDefault="001A07F2" w:rsidP="00722F40">
      <w:pPr>
        <w:jc w:val="both"/>
        <w:rPr>
          <w:b/>
          <w:spacing w:val="-4"/>
          <w:lang w:val="kk-KZ" w:eastAsia="ru-RU"/>
        </w:rPr>
      </w:pPr>
    </w:p>
    <w:p w:rsidR="00707D8A" w:rsidRPr="005F36B9" w:rsidRDefault="000118FC" w:rsidP="00722F40">
      <w:pPr>
        <w:jc w:val="both"/>
        <w:rPr>
          <w:b/>
          <w:spacing w:val="-4"/>
          <w:lang w:val="kk-KZ"/>
        </w:rPr>
      </w:pPr>
      <w:r w:rsidRPr="005F36B9">
        <w:rPr>
          <w:b/>
          <w:spacing w:val="-4"/>
          <w:lang w:val="kk-KZ"/>
        </w:rPr>
        <w:t>4.7 Көлік құралдарын және қауіптілігі зор механизмдерді басқару қабілетіне әсері</w:t>
      </w:r>
    </w:p>
    <w:p w:rsidR="00D71F81" w:rsidRPr="005F36B9" w:rsidRDefault="0050122F" w:rsidP="0095099E">
      <w:pPr>
        <w:ind w:right="-24"/>
        <w:jc w:val="both"/>
        <w:rPr>
          <w:spacing w:val="-4"/>
          <w:lang w:val="kk-KZ"/>
        </w:rPr>
      </w:pPr>
      <w:bookmarkStart w:id="12" w:name="_Hlk63891942"/>
      <w:r w:rsidRPr="005F36B9">
        <w:rPr>
          <w:spacing w:val="-4"/>
          <w:lang w:val="kk-KZ"/>
        </w:rPr>
        <w:t>[САУДАЛЫҚ АТАУЫ]</w:t>
      </w:r>
      <w:r w:rsidR="000118FC" w:rsidRPr="005F36B9">
        <w:rPr>
          <w:spacing w:val="-4"/>
          <w:lang w:val="kk-KZ"/>
        </w:rPr>
        <w:t xml:space="preserve"> препараты көлік құралдарын немесе механизмдерді басқару қаб</w:t>
      </w:r>
      <w:r w:rsidR="00CB6DD3" w:rsidRPr="005F36B9">
        <w:rPr>
          <w:spacing w:val="-4"/>
          <w:lang w:val="kk-KZ"/>
        </w:rPr>
        <w:t xml:space="preserve">ілетіне елеусіз әсер етеді (4.8 </w:t>
      </w:r>
      <w:r w:rsidR="000118FC" w:rsidRPr="005F36B9">
        <w:rPr>
          <w:spacing w:val="-4"/>
          <w:lang w:val="kk-KZ"/>
        </w:rPr>
        <w:t xml:space="preserve">бөлімді қараңыз). </w:t>
      </w:r>
      <w:r w:rsidRPr="005F36B9">
        <w:rPr>
          <w:spacing w:val="-4"/>
          <w:lang w:val="kk-KZ"/>
        </w:rPr>
        <w:t>[САУДАЛЫҚ АТАУЫ]</w:t>
      </w:r>
      <w:r w:rsidR="000118FC" w:rsidRPr="005F36B9">
        <w:rPr>
          <w:spacing w:val="-4"/>
          <w:lang w:val="kk-KZ"/>
        </w:rPr>
        <w:t xml:space="preserve"> препаратымен емдеу кезінде бас айналу және </w:t>
      </w:r>
      <w:r w:rsidR="00CB6DD3" w:rsidRPr="005F36B9">
        <w:rPr>
          <w:spacing w:val="-4"/>
          <w:lang w:val="kk-KZ"/>
        </w:rPr>
        <w:t xml:space="preserve">ұйқышылдық байқалуы мүмкін (4.8 </w:t>
      </w:r>
      <w:r w:rsidR="000118FC" w:rsidRPr="005F36B9">
        <w:rPr>
          <w:spacing w:val="-4"/>
          <w:lang w:val="kk-KZ"/>
        </w:rPr>
        <w:t xml:space="preserve">бөлімді қараңыз). Препаратты </w:t>
      </w:r>
      <w:r w:rsidR="005816BD" w:rsidRPr="005F36B9">
        <w:rPr>
          <w:spacing w:val="-4"/>
          <w:lang w:val="kk-KZ"/>
        </w:rPr>
        <w:t xml:space="preserve">қолдануға байланысты </w:t>
      </w:r>
      <w:r w:rsidR="000118FC" w:rsidRPr="005F36B9">
        <w:rPr>
          <w:spacing w:val="-4"/>
          <w:lang w:val="kk-KZ"/>
        </w:rPr>
        <w:t>симпто</w:t>
      </w:r>
      <w:r w:rsidR="00CB6DD3" w:rsidRPr="005F36B9">
        <w:rPr>
          <w:spacing w:val="-4"/>
          <w:lang w:val="kk-KZ"/>
        </w:rPr>
        <w:t xml:space="preserve">мдар пайда болған жағдайда (4.4 </w:t>
      </w:r>
      <w:r w:rsidR="000118FC" w:rsidRPr="005F36B9">
        <w:rPr>
          <w:spacing w:val="-4"/>
          <w:lang w:val="kk-KZ"/>
        </w:rPr>
        <w:t>бөлімді қараңыз), пациенттерге симптомдар толық шешілгенге дейін көлік құралдары мен механизмдерді басқару ұсынылмайды.</w:t>
      </w:r>
    </w:p>
    <w:bookmarkEnd w:id="12"/>
    <w:p w:rsidR="007E0671" w:rsidRPr="005F36B9" w:rsidRDefault="007E0671" w:rsidP="00722F40">
      <w:pPr>
        <w:jc w:val="both"/>
        <w:rPr>
          <w:spacing w:val="-4"/>
          <w:lang w:val="kk-KZ" w:eastAsia="ru-RU"/>
        </w:rPr>
      </w:pPr>
    </w:p>
    <w:p w:rsidR="00707D8A" w:rsidRPr="005F36B9" w:rsidRDefault="000118FC" w:rsidP="00722F40">
      <w:pPr>
        <w:jc w:val="both"/>
        <w:rPr>
          <w:b/>
          <w:spacing w:val="-4"/>
          <w:lang w:val="kk-KZ"/>
        </w:rPr>
      </w:pPr>
      <w:r w:rsidRPr="005F36B9">
        <w:rPr>
          <w:b/>
          <w:spacing w:val="-4"/>
          <w:lang w:val="kk-KZ"/>
        </w:rPr>
        <w:t>4.8 Жағымсыз реакциялар</w:t>
      </w:r>
    </w:p>
    <w:p w:rsidR="00697D19" w:rsidRPr="005F36B9" w:rsidRDefault="000118FC" w:rsidP="00697D19">
      <w:pPr>
        <w:spacing w:before="7"/>
        <w:jc w:val="both"/>
        <w:rPr>
          <w:spacing w:val="-4"/>
          <w:u w:val="single"/>
          <w:lang w:val="kk-KZ" w:eastAsia="ja-JP"/>
        </w:rPr>
      </w:pPr>
      <w:r w:rsidRPr="005F36B9">
        <w:rPr>
          <w:spacing w:val="-4"/>
          <w:u w:val="single"/>
          <w:lang w:val="kk-KZ" w:eastAsia="ja-JP"/>
        </w:rPr>
        <w:t>Қауіпсіздік бейінінің түйіндемесі</w:t>
      </w:r>
    </w:p>
    <w:p w:rsidR="00697D19" w:rsidRPr="005F36B9" w:rsidRDefault="000118FC" w:rsidP="00697D19">
      <w:pPr>
        <w:ind w:right="-24"/>
        <w:jc w:val="both"/>
        <w:rPr>
          <w:spacing w:val="-4"/>
          <w:lang w:val="kk-KZ"/>
        </w:rPr>
      </w:pPr>
      <w:r w:rsidRPr="005F36B9">
        <w:rPr>
          <w:spacing w:val="-4"/>
          <w:lang w:val="kk-KZ"/>
        </w:rPr>
        <w:t xml:space="preserve">Қазіргі уақытта </w:t>
      </w:r>
      <w:r w:rsidR="00760605" w:rsidRPr="005F36B9">
        <w:rPr>
          <w:spacing w:val="-4"/>
          <w:lang w:val="kk-KZ"/>
        </w:rPr>
        <w:t xml:space="preserve">трастузумабты </w:t>
      </w:r>
      <w:r w:rsidRPr="005F36B9">
        <w:rPr>
          <w:spacing w:val="-4"/>
          <w:lang w:val="kk-KZ"/>
        </w:rPr>
        <w:t xml:space="preserve">(вена ішіне және тері астына енгізуге арналған дәрілік түрлері) қолдану кезінде тіркелген анағұрлым елеулі және/немесе жиі жағымсыз реакциялар: жүректің дисфункциясы, препаратты </w:t>
      </w:r>
      <w:r w:rsidR="005816BD" w:rsidRPr="005F36B9">
        <w:rPr>
          <w:spacing w:val="-4"/>
          <w:lang w:val="kk-KZ"/>
        </w:rPr>
        <w:t xml:space="preserve">қолдануға байланысты </w:t>
      </w:r>
      <w:r w:rsidRPr="005F36B9">
        <w:rPr>
          <w:spacing w:val="-4"/>
          <w:lang w:val="kk-KZ"/>
        </w:rPr>
        <w:t xml:space="preserve">реакциялар, гематоуыттылық (атап айтқанда нейтропения), өкпе тарапынан инфекциялар мен </w:t>
      </w:r>
      <w:r w:rsidRPr="005F36B9">
        <w:rPr>
          <w:spacing w:val="-4"/>
          <w:lang w:val="kk-KZ"/>
        </w:rPr>
        <w:lastRenderedPageBreak/>
        <w:t>бұзылулар болып табылады.</w:t>
      </w:r>
    </w:p>
    <w:p w:rsidR="00697D19" w:rsidRPr="005F36B9" w:rsidRDefault="000118FC" w:rsidP="00697D19">
      <w:pPr>
        <w:ind w:right="-24"/>
        <w:jc w:val="both"/>
        <w:rPr>
          <w:spacing w:val="-4"/>
          <w:lang w:val="kk-KZ"/>
        </w:rPr>
      </w:pPr>
      <w:r w:rsidRPr="005F36B9">
        <w:rPr>
          <w:spacing w:val="-4"/>
          <w:lang w:val="kk-KZ"/>
        </w:rPr>
        <w:t xml:space="preserve">Тері астына енгізуге арналған </w:t>
      </w:r>
      <w:r w:rsidR="00BF1259" w:rsidRPr="005F36B9">
        <w:rPr>
          <w:spacing w:val="-4"/>
          <w:lang w:val="kk-KZ"/>
        </w:rPr>
        <w:t xml:space="preserve">дәрілік түрдегі </w:t>
      </w:r>
      <w:r w:rsidR="00760605" w:rsidRPr="005F36B9">
        <w:rPr>
          <w:spacing w:val="-4"/>
          <w:lang w:val="kk-KZ"/>
        </w:rPr>
        <w:t>трастузумабты</w:t>
      </w:r>
      <w:r w:rsidRPr="005F36B9">
        <w:rPr>
          <w:spacing w:val="-4"/>
          <w:lang w:val="kk-KZ"/>
        </w:rPr>
        <w:t xml:space="preserve">ң қауіпсіздік бейіні (тиісінше вена ішіне және тері астына енгізуге арналған </w:t>
      </w:r>
      <w:r w:rsidR="00BF1259" w:rsidRPr="005F36B9">
        <w:rPr>
          <w:spacing w:val="-4"/>
          <w:lang w:val="kk-KZ"/>
        </w:rPr>
        <w:t xml:space="preserve">дәрілік түрдегі </w:t>
      </w:r>
      <w:r w:rsidR="00760605" w:rsidRPr="005F36B9">
        <w:rPr>
          <w:spacing w:val="-4"/>
          <w:lang w:val="kk-KZ"/>
        </w:rPr>
        <w:t>трастузумабпен</w:t>
      </w:r>
      <w:r w:rsidRPr="005F36B9">
        <w:rPr>
          <w:spacing w:val="-4"/>
          <w:lang w:val="kk-KZ"/>
        </w:rPr>
        <w:t xml:space="preserve"> ем қабылдаған 298 және 297 пациенттерде бағаланды) СБеО кезіндегі базалық зерттеу деректеріне сәйкес вена ішіне енгізуге арналған </w:t>
      </w:r>
      <w:r w:rsidR="00BF1259" w:rsidRPr="005F36B9">
        <w:rPr>
          <w:spacing w:val="-4"/>
          <w:lang w:val="kk-KZ"/>
        </w:rPr>
        <w:t xml:space="preserve">дәрілік түрдегі </w:t>
      </w:r>
      <w:r w:rsidRPr="005F36B9">
        <w:rPr>
          <w:spacing w:val="-4"/>
          <w:lang w:val="kk-KZ"/>
        </w:rPr>
        <w:t xml:space="preserve">препараттың белгілі қауіпсіздік бейінімен салыстырылды. </w:t>
      </w:r>
    </w:p>
    <w:p w:rsidR="00697D19" w:rsidRPr="005F36B9" w:rsidRDefault="000118FC" w:rsidP="00697D19">
      <w:pPr>
        <w:ind w:right="-24"/>
        <w:jc w:val="both"/>
        <w:rPr>
          <w:spacing w:val="-4"/>
          <w:lang w:val="kk-KZ"/>
        </w:rPr>
      </w:pPr>
      <w:r w:rsidRPr="005F36B9">
        <w:rPr>
          <w:spacing w:val="-4"/>
          <w:lang w:val="kk-KZ"/>
        </w:rPr>
        <w:t xml:space="preserve">Ауыр жағымсыз құбылыстар (Ұлттық онкологиялық институттың жағымсыз құбылыстар терминологиясының жалпы критерийлеріне (NCI CTCAE) сәйкес, 3.0 нұсқа ≥3 дәреже) </w:t>
      </w:r>
      <w:r w:rsidR="00760605" w:rsidRPr="005F36B9">
        <w:rPr>
          <w:spacing w:val="-4"/>
          <w:lang w:val="kk-KZ"/>
        </w:rPr>
        <w:t>трастузумабты</w:t>
      </w:r>
      <w:r w:rsidRPr="005F36B9">
        <w:rPr>
          <w:spacing w:val="-4"/>
          <w:lang w:val="kk-KZ"/>
        </w:rPr>
        <w:t>ң екі дәрілік түріне де (вена ішіне және тиісінше тері астына енгізу үшін препаратты дәрілік түрінде қолданған кезде 52.3% және 53.5%) тең дәрежеде тән.</w:t>
      </w:r>
    </w:p>
    <w:p w:rsidR="00697D19" w:rsidRPr="005F36B9" w:rsidRDefault="000118FC" w:rsidP="00697D19">
      <w:pPr>
        <w:ind w:right="-24"/>
        <w:jc w:val="both"/>
        <w:rPr>
          <w:spacing w:val="-4"/>
          <w:lang w:val="kk-KZ"/>
        </w:rPr>
      </w:pPr>
      <w:r w:rsidRPr="005F36B9">
        <w:rPr>
          <w:spacing w:val="-4"/>
          <w:lang w:val="kk-KZ"/>
        </w:rPr>
        <w:t xml:space="preserve">Кейбір жағымсыз құбылыстар/реакциялар тері астына енгізуге арналған дәрілік түрінде қолдану кезінде анағұрлым жоғары жиілікпен тіркелген: </w:t>
      </w:r>
    </w:p>
    <w:p w:rsidR="00697D19" w:rsidRPr="005F36B9" w:rsidRDefault="000118FC" w:rsidP="00094A04">
      <w:pPr>
        <w:numPr>
          <w:ilvl w:val="0"/>
          <w:numId w:val="8"/>
        </w:numPr>
        <w:ind w:right="-24"/>
        <w:jc w:val="both"/>
        <w:rPr>
          <w:spacing w:val="-4"/>
          <w:lang w:val="kk-KZ"/>
        </w:rPr>
      </w:pPr>
      <w:r w:rsidRPr="005F36B9">
        <w:rPr>
          <w:spacing w:val="-4"/>
          <w:lang w:val="kk-KZ"/>
        </w:rPr>
        <w:t>Елеулі жағымсыз құбылыстар (олардың көпшілігі пациенттерді стационарға жатқызу немесе емдеуге жатқызу мерзімін ұзарту нәтижесінде анықталған): препаратты тері астына енгізуге арналған дәрілік түрінде қолданғандағы 21.5% - бен салыстырғанда препаратты вена ішіне енгізуге арналған дәрілік түрінде қолданған кездегі 14.1%.</w:t>
      </w:r>
      <w:r w:rsidR="00760605" w:rsidRPr="005F36B9">
        <w:rPr>
          <w:spacing w:val="-4"/>
          <w:lang w:val="kk-KZ"/>
        </w:rPr>
        <w:t xml:space="preserve"> </w:t>
      </w:r>
      <w:r w:rsidRPr="005F36B9">
        <w:rPr>
          <w:spacing w:val="-4"/>
          <w:lang w:val="kk-KZ"/>
        </w:rPr>
        <w:t>Препараттың дәрілік түрлері арасындағы ауыр жағымсыз құбылыстардың туындау жиілігінің айырмашылығы негізінен нейтропениямен жә</w:t>
      </w:r>
      <w:r w:rsidR="00CB6DD3" w:rsidRPr="005F36B9">
        <w:rPr>
          <w:spacing w:val="-4"/>
          <w:lang w:val="kk-KZ"/>
        </w:rPr>
        <w:t>не онсыз инфекциялармен (8.1%-</w:t>
      </w:r>
      <w:r w:rsidRPr="005F36B9">
        <w:rPr>
          <w:spacing w:val="-4"/>
          <w:lang w:val="kk-KZ"/>
        </w:rPr>
        <w:t xml:space="preserve">бен салыстырғанда 4.4%) және </w:t>
      </w:r>
      <w:r w:rsidR="00CB6DD3" w:rsidRPr="005F36B9">
        <w:rPr>
          <w:spacing w:val="-4"/>
          <w:lang w:val="kk-KZ"/>
        </w:rPr>
        <w:t>кардиальді бұзылулармен (1.7%-</w:t>
      </w:r>
      <w:r w:rsidRPr="005F36B9">
        <w:rPr>
          <w:spacing w:val="-4"/>
          <w:lang w:val="kk-KZ"/>
        </w:rPr>
        <w:t>бен салыстырғанда 0.7%) байланысты болды;</w:t>
      </w:r>
    </w:p>
    <w:p w:rsidR="00697D19" w:rsidRPr="005F36B9" w:rsidRDefault="000118FC" w:rsidP="00094A04">
      <w:pPr>
        <w:numPr>
          <w:ilvl w:val="0"/>
          <w:numId w:val="8"/>
        </w:numPr>
        <w:ind w:right="-24"/>
        <w:jc w:val="both"/>
        <w:rPr>
          <w:spacing w:val="-4"/>
          <w:lang w:val="kk-KZ"/>
        </w:rPr>
      </w:pPr>
      <w:r w:rsidRPr="005F36B9">
        <w:rPr>
          <w:spacing w:val="-4"/>
          <w:lang w:val="kk-KZ"/>
        </w:rPr>
        <w:t xml:space="preserve">Операциядан кейінгі тіліктерден болған инфекциялар (ауыр және/немесе күрделі): препаратты вена ішіне және тері астына енгізуге арналған дәрілік түрінде қолданғанда </w:t>
      </w:r>
      <w:r w:rsidR="007D68F2" w:rsidRPr="005F36B9">
        <w:rPr>
          <w:spacing w:val="-4"/>
          <w:lang w:val="kk-KZ"/>
        </w:rPr>
        <w:t>тиісінше</w:t>
      </w:r>
      <w:r w:rsidR="007D68F2" w:rsidRPr="005F36B9">
        <w:rPr>
          <w:spacing w:val="-4"/>
          <w:lang w:val="kk-KZ"/>
        </w:rPr>
        <w:t xml:space="preserve"> </w:t>
      </w:r>
      <w:r w:rsidRPr="005F36B9">
        <w:rPr>
          <w:spacing w:val="-4"/>
          <w:lang w:val="kk-KZ"/>
        </w:rPr>
        <w:t>1.7% және 3.0%;</w:t>
      </w:r>
    </w:p>
    <w:p w:rsidR="00697D19" w:rsidRPr="005F36B9" w:rsidRDefault="000118FC" w:rsidP="00094A04">
      <w:pPr>
        <w:numPr>
          <w:ilvl w:val="0"/>
          <w:numId w:val="8"/>
        </w:numPr>
        <w:ind w:right="-24"/>
        <w:jc w:val="both"/>
        <w:rPr>
          <w:spacing w:val="-4"/>
          <w:lang w:val="kk-KZ"/>
        </w:rPr>
      </w:pPr>
      <w:r w:rsidRPr="005F36B9">
        <w:rPr>
          <w:spacing w:val="-4"/>
          <w:lang w:val="kk-KZ"/>
        </w:rPr>
        <w:t xml:space="preserve">Препаратты </w:t>
      </w:r>
      <w:r w:rsidR="005816BD" w:rsidRPr="005F36B9">
        <w:rPr>
          <w:spacing w:val="-4"/>
          <w:lang w:val="kk-KZ"/>
        </w:rPr>
        <w:t xml:space="preserve">қолдануға байланысты </w:t>
      </w:r>
      <w:r w:rsidRPr="005F36B9">
        <w:rPr>
          <w:spacing w:val="-4"/>
          <w:lang w:val="kk-KZ"/>
        </w:rPr>
        <w:t xml:space="preserve">реакциялар: препаратты вена ішіне және тері астына енгізуге арналған дәрілік түрінде қолданғанда </w:t>
      </w:r>
      <w:r w:rsidR="007D68F2" w:rsidRPr="005F36B9">
        <w:rPr>
          <w:spacing w:val="-4"/>
          <w:lang w:val="kk-KZ"/>
        </w:rPr>
        <w:t>тиісінше</w:t>
      </w:r>
      <w:r w:rsidR="007D68F2" w:rsidRPr="005F36B9">
        <w:rPr>
          <w:spacing w:val="-4"/>
          <w:lang w:val="kk-KZ"/>
        </w:rPr>
        <w:t xml:space="preserve"> </w:t>
      </w:r>
      <w:r w:rsidRPr="005F36B9">
        <w:rPr>
          <w:spacing w:val="-4"/>
          <w:lang w:val="kk-KZ"/>
        </w:rPr>
        <w:t>37.2% және 47.8%;</w:t>
      </w:r>
    </w:p>
    <w:p w:rsidR="00697D19" w:rsidRPr="005F36B9" w:rsidRDefault="000118FC" w:rsidP="00094A04">
      <w:pPr>
        <w:numPr>
          <w:ilvl w:val="0"/>
          <w:numId w:val="8"/>
        </w:numPr>
        <w:ind w:right="-24"/>
        <w:jc w:val="both"/>
        <w:rPr>
          <w:spacing w:val="-4"/>
          <w:lang w:val="kk-KZ"/>
        </w:rPr>
      </w:pPr>
      <w:r w:rsidRPr="005F36B9">
        <w:rPr>
          <w:spacing w:val="-4"/>
          <w:lang w:val="kk-KZ"/>
        </w:rPr>
        <w:t>Артериялық гипертензия:препаратты</w:t>
      </w:r>
      <w:r w:rsidR="00A156D3" w:rsidRPr="005F36B9">
        <w:rPr>
          <w:spacing w:val="-4"/>
          <w:lang w:val="kk-KZ"/>
        </w:rPr>
        <w:t xml:space="preserve"> </w:t>
      </w:r>
      <w:r w:rsidRPr="005F36B9">
        <w:rPr>
          <w:spacing w:val="-4"/>
          <w:lang w:val="kk-KZ"/>
        </w:rPr>
        <w:t xml:space="preserve">вена ішіне және тері астына енгізуге арналған дәрілік түрінде қолданғанда, </w:t>
      </w:r>
      <w:r w:rsidR="007D68F2" w:rsidRPr="005F36B9">
        <w:rPr>
          <w:spacing w:val="-4"/>
          <w:lang w:val="kk-KZ"/>
        </w:rPr>
        <w:t xml:space="preserve">тиісінше </w:t>
      </w:r>
      <w:r w:rsidRPr="005F36B9">
        <w:rPr>
          <w:spacing w:val="-4"/>
          <w:lang w:val="kk-KZ"/>
        </w:rPr>
        <w:t>4.7% және 9.8%.</w:t>
      </w:r>
    </w:p>
    <w:p w:rsidR="009945AA" w:rsidRPr="005F36B9" w:rsidRDefault="000118FC" w:rsidP="00697D19">
      <w:pPr>
        <w:ind w:right="-24"/>
        <w:jc w:val="both"/>
        <w:rPr>
          <w:spacing w:val="-4"/>
          <w:u w:val="single"/>
          <w:lang w:val="kk-KZ" w:eastAsia="ja-JP"/>
        </w:rPr>
      </w:pPr>
      <w:r w:rsidRPr="005F36B9">
        <w:rPr>
          <w:spacing w:val="-4"/>
          <w:u w:val="single"/>
          <w:lang w:val="kk-KZ" w:eastAsia="ja-JP"/>
        </w:rPr>
        <w:t xml:space="preserve">Вена ішіне енгізуге арналған </w:t>
      </w:r>
      <w:r w:rsidR="00BF1259" w:rsidRPr="005F36B9">
        <w:rPr>
          <w:spacing w:val="-4"/>
          <w:u w:val="single"/>
          <w:lang w:val="kk-KZ" w:eastAsia="ja-JP"/>
        </w:rPr>
        <w:t xml:space="preserve">дәрілік түрдегі </w:t>
      </w:r>
      <w:r w:rsidRPr="005F36B9">
        <w:rPr>
          <w:spacing w:val="-4"/>
          <w:u w:val="single"/>
          <w:lang w:val="kk-KZ" w:eastAsia="ja-JP"/>
        </w:rPr>
        <w:t>препаратты қолдану кезіндегі жағымсыз реакциялар кестесі түріндегі түйіндеме</w:t>
      </w:r>
    </w:p>
    <w:p w:rsidR="00697D19" w:rsidRPr="005F36B9" w:rsidRDefault="000118FC" w:rsidP="00697D19">
      <w:pPr>
        <w:ind w:right="-24"/>
        <w:jc w:val="both"/>
        <w:rPr>
          <w:spacing w:val="-4"/>
          <w:lang w:val="kk-KZ"/>
        </w:rPr>
      </w:pPr>
      <w:bookmarkStart w:id="13" w:name="_Hlk63892827"/>
      <w:r w:rsidRPr="005F36B9">
        <w:rPr>
          <w:spacing w:val="-4"/>
          <w:lang w:val="kk-KZ"/>
        </w:rPr>
        <w:t xml:space="preserve">Жағымсыз реакциялардың жиілігін сипаттау үшін мынадай жіктеу пайдаланылады: өте жиі (≥1/10), жиі (≥1/100-ден &lt;1/10-ға дейін), жиі емес (≥1/1000-нан &lt;1/100-ге дейін), сирек (≥1/10000-нан &lt;1/1000-ға дейін), өте сирек (&lt;1/10000), белгісіз (қолда бар деректер негізінде есептеу мүмкін емес). </w:t>
      </w:r>
      <w:bookmarkEnd w:id="13"/>
      <w:r w:rsidRPr="005F36B9">
        <w:rPr>
          <w:spacing w:val="-4"/>
          <w:lang w:val="kk-KZ"/>
        </w:rPr>
        <w:t>Әрбір топта жағымсыз реакциялардың жиілігі ауырлық дәрежесін төмендету тәртібімен ұсынылған.</w:t>
      </w:r>
    </w:p>
    <w:p w:rsidR="00697D19" w:rsidRPr="005F36B9" w:rsidRDefault="00A156D3" w:rsidP="00697D19">
      <w:pPr>
        <w:ind w:right="-24"/>
        <w:jc w:val="both"/>
        <w:rPr>
          <w:spacing w:val="-4"/>
          <w:lang w:val="kk-KZ"/>
        </w:rPr>
      </w:pPr>
      <w:r w:rsidRPr="005F36B9">
        <w:rPr>
          <w:spacing w:val="-4"/>
          <w:lang w:val="kk-KZ"/>
        </w:rPr>
        <w:t xml:space="preserve">1 </w:t>
      </w:r>
      <w:r w:rsidR="000118FC" w:rsidRPr="005F36B9">
        <w:rPr>
          <w:spacing w:val="-4"/>
          <w:lang w:val="kk-KZ"/>
        </w:rPr>
        <w:t xml:space="preserve">кестеде вена ішіне енгізуге арналған </w:t>
      </w:r>
      <w:r w:rsidR="00BF1259" w:rsidRPr="005F36B9">
        <w:rPr>
          <w:spacing w:val="-4"/>
          <w:lang w:val="kk-KZ"/>
        </w:rPr>
        <w:t xml:space="preserve">дәрілік түрдегі </w:t>
      </w:r>
      <w:r w:rsidR="003648A2" w:rsidRPr="005F36B9">
        <w:rPr>
          <w:spacing w:val="-4"/>
          <w:lang w:val="kk-KZ"/>
        </w:rPr>
        <w:t>трастузумаб</w:t>
      </w:r>
      <w:r w:rsidR="003648A2" w:rsidRPr="005F36B9">
        <w:rPr>
          <w:spacing w:val="-4"/>
          <w:lang w:val="kk-KZ"/>
        </w:rPr>
        <w:t xml:space="preserve"> </w:t>
      </w:r>
      <w:r w:rsidR="000118FC" w:rsidRPr="005F36B9">
        <w:rPr>
          <w:spacing w:val="-4"/>
          <w:lang w:val="kk-KZ"/>
        </w:rPr>
        <w:t>монотерапия ретінде немесехимиотерапиямен біріктірілімде қолдану кезінде базалық клиникалық зерттеулерде және тіркеуден кейінгі кезеңде тіркелген жағымсыз реакциялар көрсетілген.</w:t>
      </w:r>
    </w:p>
    <w:p w:rsidR="00697D19" w:rsidRPr="005F36B9" w:rsidRDefault="000118FC" w:rsidP="00697D19">
      <w:pPr>
        <w:ind w:right="-24"/>
        <w:jc w:val="both"/>
        <w:rPr>
          <w:spacing w:val="-4"/>
          <w:lang w:val="kk-KZ"/>
        </w:rPr>
      </w:pPr>
      <w:r w:rsidRPr="005F36B9">
        <w:rPr>
          <w:spacing w:val="-4"/>
          <w:lang w:val="kk-KZ"/>
        </w:rPr>
        <w:t>Аталған терминдердің айтарлықтай үлесі базалық клиникалық зерттеу</w:t>
      </w:r>
      <w:r w:rsidR="00A156D3" w:rsidRPr="005F36B9">
        <w:rPr>
          <w:spacing w:val="-4"/>
          <w:lang w:val="kk-KZ"/>
        </w:rPr>
        <w:t xml:space="preserve">лерде тіркелген. Бұдан басқа, 1 </w:t>
      </w:r>
      <w:r w:rsidRPr="005F36B9">
        <w:rPr>
          <w:spacing w:val="-4"/>
          <w:lang w:val="kk-KZ"/>
        </w:rPr>
        <w:t>кестеге тіркеуден кейінгі кезеңде кездескен терминдер енгізілген.</w:t>
      </w:r>
    </w:p>
    <w:p w:rsidR="002C7819" w:rsidRPr="005F36B9" w:rsidRDefault="002C7819" w:rsidP="00697D19">
      <w:pPr>
        <w:ind w:right="-24"/>
        <w:jc w:val="both"/>
        <w:rPr>
          <w:rFonts w:ascii="Arial" w:hAnsi="Arial" w:cs="Arial"/>
          <w:spacing w:val="-4"/>
          <w:lang w:val="kk-KZ"/>
        </w:rPr>
      </w:pPr>
    </w:p>
    <w:p w:rsidR="00697D19" w:rsidRPr="005F36B9" w:rsidRDefault="00A156D3" w:rsidP="00697D19">
      <w:pPr>
        <w:ind w:right="-24"/>
        <w:jc w:val="both"/>
        <w:rPr>
          <w:b/>
          <w:spacing w:val="-4"/>
          <w:lang w:val="kk-KZ"/>
        </w:rPr>
      </w:pPr>
      <w:r w:rsidRPr="005F36B9">
        <w:rPr>
          <w:b/>
          <w:spacing w:val="-4"/>
          <w:lang w:val="kk-KZ"/>
        </w:rPr>
        <w:t xml:space="preserve">1 </w:t>
      </w:r>
      <w:r w:rsidR="000118FC" w:rsidRPr="005F36B9">
        <w:rPr>
          <w:b/>
          <w:spacing w:val="-4"/>
          <w:lang w:val="kk-KZ"/>
        </w:rPr>
        <w:t xml:space="preserve">кесте. Вена ішіне енгізуге арналған дәрілік түрінде </w:t>
      </w:r>
      <w:r w:rsidR="0050122F" w:rsidRPr="005F36B9">
        <w:rPr>
          <w:b/>
          <w:spacing w:val="-4"/>
          <w:lang w:val="kk-KZ"/>
        </w:rPr>
        <w:t>[САУДАЛЫҚ АТАУЫ]</w:t>
      </w:r>
      <w:r w:rsidR="000118FC" w:rsidRPr="005F36B9">
        <w:rPr>
          <w:b/>
          <w:spacing w:val="-4"/>
          <w:lang w:val="kk-KZ"/>
        </w:rPr>
        <w:t xml:space="preserve"> препаратын монотерапия ретінде немесе базалық клиникалық зерттеулерде (N=8386) және тіркеуден кейінгі кезеңде химиотерапиямен біріктіріп қолданған кезде тіркелген жағымсыз реакциялар</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4988"/>
        <w:gridCol w:w="1417"/>
      </w:tblGrid>
      <w:tr w:rsidR="00EF574F" w:rsidRPr="005F36B9" w:rsidTr="00014DA7">
        <w:tc>
          <w:tcPr>
            <w:tcW w:w="2554" w:type="dxa"/>
            <w:shd w:val="clear" w:color="auto" w:fill="auto"/>
          </w:tcPr>
          <w:p w:rsidR="00697D19" w:rsidRPr="005F36B9" w:rsidRDefault="000118FC" w:rsidP="00D8798D">
            <w:pPr>
              <w:ind w:right="-24"/>
              <w:rPr>
                <w:b/>
                <w:spacing w:val="-4"/>
                <w:lang w:val="ru-RU"/>
              </w:rPr>
            </w:pPr>
            <w:r w:rsidRPr="005F36B9">
              <w:rPr>
                <w:b/>
                <w:spacing w:val="-4"/>
                <w:lang w:val="kk-KZ"/>
              </w:rPr>
              <w:t>Жүйелік-ағзалық класс</w:t>
            </w:r>
          </w:p>
        </w:tc>
        <w:tc>
          <w:tcPr>
            <w:tcW w:w="4988" w:type="dxa"/>
            <w:shd w:val="clear" w:color="auto" w:fill="auto"/>
          </w:tcPr>
          <w:p w:rsidR="00697D19" w:rsidRPr="005F36B9" w:rsidRDefault="000118FC" w:rsidP="00D8798D">
            <w:pPr>
              <w:ind w:right="-24"/>
              <w:rPr>
                <w:b/>
                <w:spacing w:val="-4"/>
                <w:lang w:val="ru-RU"/>
              </w:rPr>
            </w:pPr>
            <w:r w:rsidRPr="005F36B9">
              <w:rPr>
                <w:b/>
                <w:spacing w:val="-4"/>
                <w:lang w:val="kk-KZ"/>
              </w:rPr>
              <w:t>Жағымсыз реакция</w:t>
            </w:r>
          </w:p>
        </w:tc>
        <w:tc>
          <w:tcPr>
            <w:tcW w:w="1417" w:type="dxa"/>
            <w:shd w:val="clear" w:color="auto" w:fill="auto"/>
          </w:tcPr>
          <w:p w:rsidR="00697D19" w:rsidRPr="005F36B9" w:rsidRDefault="000118FC" w:rsidP="00D8798D">
            <w:pPr>
              <w:ind w:right="-24"/>
              <w:rPr>
                <w:b/>
                <w:spacing w:val="-4"/>
                <w:lang w:val="ru-RU"/>
              </w:rPr>
            </w:pPr>
            <w:r w:rsidRPr="005F36B9">
              <w:rPr>
                <w:b/>
                <w:spacing w:val="-4"/>
                <w:lang w:val="kk-KZ"/>
              </w:rPr>
              <w:t>Жиілігі</w:t>
            </w:r>
          </w:p>
        </w:tc>
      </w:tr>
      <w:tr w:rsidR="00EF574F" w:rsidRPr="005F36B9" w:rsidTr="00014DA7">
        <w:tc>
          <w:tcPr>
            <w:tcW w:w="2554" w:type="dxa"/>
            <w:vMerge w:val="restart"/>
            <w:shd w:val="clear" w:color="auto" w:fill="auto"/>
          </w:tcPr>
          <w:p w:rsidR="00697D19" w:rsidRPr="005F36B9" w:rsidRDefault="000118FC" w:rsidP="00D8798D">
            <w:pPr>
              <w:ind w:right="-24"/>
              <w:rPr>
                <w:spacing w:val="-4"/>
                <w:lang w:val="ru-RU"/>
              </w:rPr>
            </w:pPr>
            <w:r w:rsidRPr="005F36B9">
              <w:rPr>
                <w:spacing w:val="-4"/>
                <w:lang w:val="kk-KZ"/>
              </w:rPr>
              <w:t>Инфекциялар мен инвазиялар</w:t>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Инфекциялар</w:t>
            </w:r>
          </w:p>
        </w:tc>
        <w:tc>
          <w:tcPr>
            <w:tcW w:w="1417" w:type="dxa"/>
            <w:shd w:val="clear" w:color="auto" w:fill="auto"/>
          </w:tcPr>
          <w:p w:rsidR="00697D19" w:rsidRPr="005F36B9" w:rsidRDefault="000118FC" w:rsidP="00D8798D">
            <w:pPr>
              <w:ind w:right="-24"/>
              <w:rPr>
                <w:b/>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b/>
                <w:spacing w:val="-4"/>
                <w:lang w:val="ru-RU"/>
              </w:rPr>
            </w:pPr>
            <w:r w:rsidRPr="005F36B9">
              <w:rPr>
                <w:spacing w:val="-4"/>
                <w:lang w:val="kk-KZ"/>
              </w:rPr>
              <w:t>Назофарингит</w:t>
            </w:r>
          </w:p>
        </w:tc>
        <w:tc>
          <w:tcPr>
            <w:tcW w:w="1417" w:type="dxa"/>
            <w:shd w:val="clear" w:color="auto" w:fill="auto"/>
          </w:tcPr>
          <w:p w:rsidR="00697D19" w:rsidRPr="005F36B9" w:rsidRDefault="000118FC" w:rsidP="00D8798D">
            <w:pPr>
              <w:ind w:right="-24"/>
              <w:rPr>
                <w:b/>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b/>
                <w:spacing w:val="-4"/>
                <w:lang w:val="ru-RU"/>
              </w:rPr>
            </w:pPr>
            <w:r w:rsidRPr="005F36B9">
              <w:rPr>
                <w:spacing w:val="-4"/>
                <w:lang w:val="kk-KZ"/>
              </w:rPr>
              <w:t>Нейтропениялық сепсис</w:t>
            </w:r>
          </w:p>
        </w:tc>
        <w:tc>
          <w:tcPr>
            <w:tcW w:w="1417" w:type="dxa"/>
            <w:shd w:val="clear" w:color="auto" w:fill="auto"/>
          </w:tcPr>
          <w:p w:rsidR="00697D19" w:rsidRPr="005F36B9" w:rsidRDefault="000118FC" w:rsidP="00D8798D">
            <w:pPr>
              <w:ind w:right="-24"/>
              <w:rPr>
                <w:b/>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b/>
                <w:spacing w:val="-4"/>
                <w:lang w:val="ru-RU"/>
              </w:rPr>
            </w:pPr>
            <w:r w:rsidRPr="005F36B9">
              <w:rPr>
                <w:spacing w:val="-4"/>
                <w:lang w:val="kk-KZ"/>
              </w:rPr>
              <w:t>Цистит</w:t>
            </w:r>
          </w:p>
        </w:tc>
        <w:tc>
          <w:tcPr>
            <w:tcW w:w="1417" w:type="dxa"/>
            <w:shd w:val="clear" w:color="auto" w:fill="auto"/>
          </w:tcPr>
          <w:p w:rsidR="00697D19" w:rsidRPr="005F36B9" w:rsidRDefault="000118FC" w:rsidP="00D8798D">
            <w:pPr>
              <w:ind w:right="-24"/>
              <w:rPr>
                <w:b/>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b/>
                <w:spacing w:val="-4"/>
                <w:lang w:val="ru-RU"/>
              </w:rPr>
            </w:pPr>
            <w:r w:rsidRPr="005F36B9">
              <w:rPr>
                <w:spacing w:val="-4"/>
                <w:lang w:val="kk-KZ"/>
              </w:rPr>
              <w:t>Тұмау</w:t>
            </w:r>
          </w:p>
        </w:tc>
        <w:tc>
          <w:tcPr>
            <w:tcW w:w="1417" w:type="dxa"/>
            <w:shd w:val="clear" w:color="auto" w:fill="auto"/>
          </w:tcPr>
          <w:p w:rsidR="00697D19" w:rsidRPr="005F36B9" w:rsidRDefault="000118FC" w:rsidP="00D8798D">
            <w:pPr>
              <w:ind w:right="-24"/>
              <w:rPr>
                <w:b/>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b/>
                <w:spacing w:val="-4"/>
                <w:lang w:val="ru-RU"/>
              </w:rPr>
            </w:pPr>
            <w:r w:rsidRPr="005F36B9">
              <w:rPr>
                <w:spacing w:val="-4"/>
                <w:lang w:val="kk-KZ"/>
              </w:rPr>
              <w:t>Синусит</w:t>
            </w:r>
          </w:p>
        </w:tc>
        <w:tc>
          <w:tcPr>
            <w:tcW w:w="1417" w:type="dxa"/>
            <w:shd w:val="clear" w:color="auto" w:fill="auto"/>
          </w:tcPr>
          <w:p w:rsidR="00697D19" w:rsidRPr="005F36B9" w:rsidRDefault="000118FC" w:rsidP="00D8798D">
            <w:pPr>
              <w:ind w:right="-24"/>
              <w:rPr>
                <w:b/>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b/>
                <w:spacing w:val="-4"/>
                <w:lang w:val="ru-RU"/>
              </w:rPr>
            </w:pPr>
            <w:r w:rsidRPr="005F36B9">
              <w:rPr>
                <w:spacing w:val="-4"/>
                <w:lang w:val="kk-KZ"/>
              </w:rPr>
              <w:t>Тері инфекциялары</w:t>
            </w:r>
          </w:p>
        </w:tc>
        <w:tc>
          <w:tcPr>
            <w:tcW w:w="1417" w:type="dxa"/>
            <w:shd w:val="clear" w:color="auto" w:fill="auto"/>
          </w:tcPr>
          <w:p w:rsidR="00697D19" w:rsidRPr="005F36B9" w:rsidRDefault="000118FC" w:rsidP="00D8798D">
            <w:pPr>
              <w:ind w:right="-24"/>
              <w:rPr>
                <w:b/>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b/>
                <w:spacing w:val="-4"/>
                <w:lang w:val="ru-RU"/>
              </w:rPr>
            </w:pPr>
            <w:r w:rsidRPr="005F36B9">
              <w:rPr>
                <w:spacing w:val="-4"/>
                <w:lang w:val="kk-KZ"/>
              </w:rPr>
              <w:t>Ринит</w:t>
            </w:r>
          </w:p>
        </w:tc>
        <w:tc>
          <w:tcPr>
            <w:tcW w:w="1417" w:type="dxa"/>
            <w:shd w:val="clear" w:color="auto" w:fill="auto"/>
          </w:tcPr>
          <w:p w:rsidR="00697D19" w:rsidRPr="005F36B9" w:rsidRDefault="000118FC" w:rsidP="00D8798D">
            <w:pPr>
              <w:ind w:right="-24"/>
              <w:rPr>
                <w:b/>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b/>
                <w:spacing w:val="-4"/>
                <w:lang w:val="ru-RU"/>
              </w:rPr>
            </w:pPr>
            <w:r w:rsidRPr="005F36B9">
              <w:rPr>
                <w:spacing w:val="-4"/>
                <w:lang w:val="kk-KZ"/>
              </w:rPr>
              <w:t>Жоғарғы тыныс алу жолдарының инфекциялары</w:t>
            </w:r>
          </w:p>
        </w:tc>
        <w:tc>
          <w:tcPr>
            <w:tcW w:w="1417" w:type="dxa"/>
            <w:shd w:val="clear" w:color="auto" w:fill="auto"/>
          </w:tcPr>
          <w:p w:rsidR="00697D19" w:rsidRPr="005F36B9" w:rsidRDefault="000118FC" w:rsidP="00D8798D">
            <w:pPr>
              <w:ind w:right="-24"/>
              <w:rPr>
                <w:b/>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b/>
                <w:spacing w:val="-4"/>
                <w:lang w:val="ru-RU"/>
              </w:rPr>
            </w:pPr>
            <w:r w:rsidRPr="005F36B9">
              <w:rPr>
                <w:spacing w:val="-4"/>
                <w:lang w:val="kk-KZ"/>
              </w:rPr>
              <w:t>Несеп шығару жолдарының инфекциялары</w:t>
            </w:r>
          </w:p>
        </w:tc>
        <w:tc>
          <w:tcPr>
            <w:tcW w:w="1417" w:type="dxa"/>
            <w:shd w:val="clear" w:color="auto" w:fill="auto"/>
          </w:tcPr>
          <w:p w:rsidR="00697D19" w:rsidRPr="005F36B9" w:rsidRDefault="000118FC" w:rsidP="00D8798D">
            <w:pPr>
              <w:ind w:right="-24"/>
              <w:rPr>
                <w:b/>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b/>
                <w:spacing w:val="-4"/>
                <w:lang w:val="ru-RU"/>
              </w:rPr>
            </w:pPr>
            <w:r w:rsidRPr="005F36B9">
              <w:rPr>
                <w:spacing w:val="-4"/>
                <w:lang w:val="kk-KZ"/>
              </w:rPr>
              <w:t>Фарингит</w:t>
            </w:r>
          </w:p>
        </w:tc>
        <w:tc>
          <w:tcPr>
            <w:tcW w:w="1417" w:type="dxa"/>
            <w:shd w:val="clear" w:color="auto" w:fill="auto"/>
          </w:tcPr>
          <w:p w:rsidR="00697D19" w:rsidRPr="005F36B9" w:rsidRDefault="000118FC" w:rsidP="00D8798D">
            <w:pPr>
              <w:ind w:right="-24"/>
              <w:rPr>
                <w:b/>
                <w:spacing w:val="-4"/>
                <w:lang w:val="ru-RU"/>
              </w:rPr>
            </w:pPr>
            <w:r w:rsidRPr="005F36B9">
              <w:rPr>
                <w:spacing w:val="-4"/>
                <w:lang w:val="kk-KZ"/>
              </w:rPr>
              <w:t>Жиі</w:t>
            </w:r>
          </w:p>
        </w:tc>
      </w:tr>
      <w:tr w:rsidR="00EF574F" w:rsidRPr="005F36B9" w:rsidTr="00014DA7">
        <w:tc>
          <w:tcPr>
            <w:tcW w:w="2554" w:type="dxa"/>
            <w:vMerge w:val="restart"/>
            <w:shd w:val="clear" w:color="auto" w:fill="auto"/>
          </w:tcPr>
          <w:p w:rsidR="00697D19" w:rsidRPr="005F36B9" w:rsidRDefault="000118FC" w:rsidP="00D8798D">
            <w:pPr>
              <w:ind w:right="-24"/>
              <w:rPr>
                <w:spacing w:val="-4"/>
              </w:rPr>
            </w:pPr>
            <w:r w:rsidRPr="005F36B9">
              <w:rPr>
                <w:spacing w:val="-4"/>
                <w:lang w:val="kk-KZ"/>
              </w:rPr>
              <w:t>Қатерсіз, қатерлі және анықталмаған жаңа түзілімдер (кисталар мен полиптерді қоса алғанда)</w:t>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Қатерлі жаңа түзілімнің үдеуі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Жаңа түзілімнің үдеуі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val="restart"/>
            <w:shd w:val="clear" w:color="auto" w:fill="auto"/>
          </w:tcPr>
          <w:p w:rsidR="00697D19" w:rsidRPr="005F36B9" w:rsidRDefault="000118FC" w:rsidP="00D8798D">
            <w:pPr>
              <w:ind w:right="-24"/>
              <w:rPr>
                <w:spacing w:val="-4"/>
              </w:rPr>
            </w:pPr>
            <w:r w:rsidRPr="005F36B9">
              <w:rPr>
                <w:spacing w:val="-4"/>
                <w:lang w:val="kk-KZ"/>
              </w:rPr>
              <w:t>Қан және лимфа жүйесі тарапынан бұзылулар</w:t>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Фебрильді нейтропения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Анемия</w:t>
            </w:r>
            <w:r w:rsidRPr="005F36B9">
              <w:rPr>
                <w:spacing w:val="-4"/>
                <w:lang w:val="kk-KZ"/>
              </w:rPr>
              <w:tab/>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Нейтропения</w:t>
            </w:r>
            <w:r w:rsidRPr="005F36B9">
              <w:rPr>
                <w:spacing w:val="-4"/>
                <w:lang w:val="kk-KZ"/>
              </w:rPr>
              <w:tab/>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 xml:space="preserve">Лейкоциттер санының төмендеуі/лейкопения </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Тромбоцитопения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Гипопротромбинемия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Иммундық тромбоцитопения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val="restart"/>
            <w:shd w:val="clear" w:color="auto" w:fill="auto"/>
          </w:tcPr>
          <w:p w:rsidR="00697D19" w:rsidRPr="005F36B9" w:rsidRDefault="000118FC" w:rsidP="00D8798D">
            <w:pPr>
              <w:ind w:right="-24"/>
              <w:rPr>
                <w:spacing w:val="-4"/>
                <w:lang w:val="ru-RU"/>
              </w:rPr>
            </w:pPr>
            <w:r w:rsidRPr="005F36B9">
              <w:rPr>
                <w:spacing w:val="-4"/>
                <w:lang w:val="kk-KZ"/>
              </w:rPr>
              <w:t>Иммундық жүйенің тарапынан бұзылулар</w:t>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Аса жоғары сезімталдық</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w:t>
            </w:r>
            <w:r w:rsidRPr="005F36B9">
              <w:rPr>
                <w:spacing w:val="-4"/>
                <w:lang w:val="kk-KZ"/>
              </w:rPr>
              <w:t>Анафилаксиялық реакциялар</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Сирек</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w:t>
            </w:r>
            <w:r w:rsidRPr="005F36B9">
              <w:rPr>
                <w:spacing w:val="-4"/>
                <w:lang w:val="kk-KZ"/>
              </w:rPr>
              <w:t>Анафилаксиялық шок</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Сирек</w:t>
            </w:r>
          </w:p>
        </w:tc>
      </w:tr>
      <w:tr w:rsidR="00EF574F" w:rsidRPr="005F36B9" w:rsidTr="00014DA7">
        <w:tc>
          <w:tcPr>
            <w:tcW w:w="2554" w:type="dxa"/>
            <w:vMerge w:val="restart"/>
            <w:shd w:val="clear" w:color="auto" w:fill="auto"/>
          </w:tcPr>
          <w:p w:rsidR="00697D19" w:rsidRPr="005F36B9" w:rsidRDefault="000118FC" w:rsidP="00D8798D">
            <w:pPr>
              <w:ind w:right="-24"/>
              <w:rPr>
                <w:spacing w:val="-4"/>
                <w:lang w:val="ru-RU"/>
              </w:rPr>
            </w:pPr>
            <w:r w:rsidRPr="005F36B9">
              <w:rPr>
                <w:spacing w:val="-4"/>
                <w:lang w:val="kk-KZ"/>
              </w:rPr>
              <w:t>Метаболизм және тамақтану бұзылыстары</w:t>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Дене салмағының төмендеуі/салмақ жоғалту</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Анорексия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Ісік лизисінің синдромы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Гиперкалиемия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val="restart"/>
            <w:shd w:val="clear" w:color="auto" w:fill="auto"/>
          </w:tcPr>
          <w:p w:rsidR="00697D19" w:rsidRPr="005F36B9" w:rsidRDefault="000118FC" w:rsidP="00D8798D">
            <w:pPr>
              <w:ind w:right="-24"/>
              <w:rPr>
                <w:spacing w:val="-4"/>
                <w:lang w:val="ru-RU"/>
              </w:rPr>
            </w:pPr>
            <w:r w:rsidRPr="005F36B9">
              <w:rPr>
                <w:spacing w:val="-4"/>
                <w:lang w:val="kk-KZ"/>
              </w:rPr>
              <w:t>Психикалық бұзылулар</w:t>
            </w:r>
            <w:r w:rsidRPr="005F36B9">
              <w:rPr>
                <w:spacing w:val="-4"/>
                <w:lang w:val="kk-KZ"/>
              </w:rPr>
              <w:tab/>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Ұйқысыздық</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Үрей</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Депрессия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val="restart"/>
            <w:shd w:val="clear" w:color="auto" w:fill="auto"/>
          </w:tcPr>
          <w:p w:rsidR="00697D19" w:rsidRPr="005F36B9" w:rsidRDefault="000118FC" w:rsidP="00D8798D">
            <w:pPr>
              <w:ind w:right="-24"/>
              <w:rPr>
                <w:spacing w:val="-4"/>
                <w:lang w:val="ru-RU"/>
              </w:rPr>
            </w:pPr>
            <w:r w:rsidRPr="005F36B9">
              <w:rPr>
                <w:spacing w:val="-4"/>
                <w:lang w:val="kk-KZ"/>
              </w:rPr>
              <w:t>Жүйке жүйесінің тарапынан бұзылулар</w:t>
            </w: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1</w:t>
            </w:r>
            <w:r w:rsidRPr="005F36B9">
              <w:rPr>
                <w:spacing w:val="-4"/>
                <w:lang w:val="kk-KZ"/>
              </w:rPr>
              <w:t>Тремор</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Бас айналу</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Бас ауыру</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Парестезиялар</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FA5B3C">
            <w:pPr>
              <w:ind w:right="-24"/>
              <w:rPr>
                <w:spacing w:val="-4"/>
                <w:lang w:val="ru-RU"/>
              </w:rPr>
            </w:pPr>
            <w:r w:rsidRPr="005F36B9">
              <w:rPr>
                <w:spacing w:val="-4"/>
                <w:lang w:val="kk-KZ"/>
              </w:rPr>
              <w:t>Дисгевзия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Шеткері нейропатия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Бұлшықет гипертонусы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Ұйқышылдық</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val="restart"/>
            <w:shd w:val="clear" w:color="auto" w:fill="auto"/>
          </w:tcPr>
          <w:p w:rsidR="00697D19" w:rsidRPr="005F36B9" w:rsidRDefault="000118FC" w:rsidP="00D8798D">
            <w:pPr>
              <w:ind w:right="-24"/>
              <w:rPr>
                <w:spacing w:val="-4"/>
                <w:lang w:val="ru-RU"/>
              </w:rPr>
            </w:pPr>
            <w:r w:rsidRPr="005F36B9">
              <w:rPr>
                <w:spacing w:val="-4"/>
                <w:lang w:val="kk-KZ"/>
              </w:rPr>
              <w:t>Көру мүшесі тарапынан бұзылулар</w:t>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Конъюнктивит</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Шамадан тыс жасаурау</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Көздің құрғауы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Көру жүйкесі дискінің ісінуі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Торқабыққа қан құйылу</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shd w:val="clear" w:color="auto" w:fill="auto"/>
          </w:tcPr>
          <w:p w:rsidR="00697D19" w:rsidRPr="005F36B9" w:rsidRDefault="000118FC" w:rsidP="00D8798D">
            <w:pPr>
              <w:ind w:right="-24"/>
              <w:rPr>
                <w:spacing w:val="-4"/>
                <w:lang w:val="ru-RU"/>
              </w:rPr>
            </w:pPr>
            <w:r w:rsidRPr="005F36B9">
              <w:rPr>
                <w:spacing w:val="-4"/>
                <w:lang w:val="kk-KZ"/>
              </w:rPr>
              <w:t xml:space="preserve">Есту мүшесі және лабиринт тарапынан бұзылулар </w:t>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Кереңдік</w:t>
            </w:r>
            <w:r w:rsidRPr="005F36B9">
              <w:rPr>
                <w:spacing w:val="-4"/>
                <w:lang w:val="kk-KZ"/>
              </w:rPr>
              <w:tab/>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 емес</w:t>
            </w:r>
          </w:p>
        </w:tc>
      </w:tr>
      <w:tr w:rsidR="00EF574F" w:rsidRPr="005F36B9" w:rsidTr="00014DA7">
        <w:tc>
          <w:tcPr>
            <w:tcW w:w="2554" w:type="dxa"/>
            <w:vMerge w:val="restart"/>
            <w:shd w:val="clear" w:color="auto" w:fill="auto"/>
          </w:tcPr>
          <w:p w:rsidR="00697D19" w:rsidRPr="005F36B9" w:rsidRDefault="000118FC" w:rsidP="00D8798D">
            <w:pPr>
              <w:ind w:right="-24"/>
              <w:rPr>
                <w:spacing w:val="-4"/>
                <w:lang w:val="ru-RU"/>
              </w:rPr>
            </w:pPr>
            <w:r w:rsidRPr="005F36B9">
              <w:rPr>
                <w:spacing w:val="-4"/>
                <w:lang w:val="kk-KZ"/>
              </w:rPr>
              <w:t>Жүрек тарапынан бұзылулар</w:t>
            </w: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1</w:t>
            </w:r>
            <w:r w:rsidR="00E45943" w:rsidRPr="005F36B9">
              <w:rPr>
                <w:spacing w:val="-4"/>
                <w:lang w:val="kk-KZ"/>
              </w:rPr>
              <w:t>Артериялық қысымның төмендеуі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1</w:t>
            </w:r>
            <w:r w:rsidRPr="005F36B9">
              <w:rPr>
                <w:spacing w:val="-4"/>
                <w:lang w:val="kk-KZ"/>
              </w:rPr>
              <w:t>Артериялық қысымның жоғарылауы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1</w:t>
            </w:r>
            <w:r w:rsidRPr="005F36B9">
              <w:rPr>
                <w:spacing w:val="-4"/>
                <w:lang w:val="kk-KZ"/>
              </w:rPr>
              <w:t xml:space="preserve"> Жүрек ырғағының бұзылуы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1</w:t>
            </w:r>
            <w:r w:rsidRPr="005F36B9">
              <w:rPr>
                <w:spacing w:val="-4"/>
                <w:lang w:val="kk-KZ"/>
              </w:rPr>
              <w:t>Жыпылықтау (жүрекшелердің немесе қарыншалардың)</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Лықсу фракциясының төмендеуі*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w:t>
            </w:r>
            <w:r w:rsidRPr="005F36B9">
              <w:rPr>
                <w:spacing w:val="-4"/>
                <w:lang w:val="kk-KZ"/>
              </w:rPr>
              <w:t xml:space="preserve"> Жүрек жеткіліксіздігі (іркілісті)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+1</w:t>
            </w:r>
            <w:r w:rsidRPr="005F36B9">
              <w:rPr>
                <w:spacing w:val="-4"/>
                <w:lang w:val="kk-KZ"/>
              </w:rPr>
              <w:t>Суправентрикулярлы тахиаритмия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Кардиомиопатия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CB6DD3">
            <w:pPr>
              <w:ind w:right="-24"/>
              <w:rPr>
                <w:spacing w:val="-4"/>
                <w:lang w:val="ru-RU"/>
              </w:rPr>
            </w:pPr>
            <w:r w:rsidRPr="005F36B9">
              <w:rPr>
                <w:spacing w:val="-4"/>
                <w:vertAlign w:val="superscript"/>
                <w:lang w:val="kk-KZ"/>
              </w:rPr>
              <w:t>1</w:t>
            </w:r>
            <w:r w:rsidR="00E45943" w:rsidRPr="005F36B9">
              <w:rPr>
                <w:spacing w:val="-4"/>
                <w:lang w:val="kk-KZ"/>
              </w:rPr>
              <w:t>Пальпитация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Перикардиальді жалқық</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 емес</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Кардиогенді шок</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C542FB" w:rsidP="00D8798D">
            <w:pPr>
              <w:ind w:right="-24"/>
              <w:rPr>
                <w:spacing w:val="-4"/>
                <w:lang w:val="ru-RU"/>
              </w:rPr>
            </w:pPr>
            <w:r w:rsidRPr="005F36B9">
              <w:rPr>
                <w:spacing w:val="-4"/>
                <w:lang w:val="kk-KZ"/>
              </w:rPr>
              <w:t>"Ат</w:t>
            </w:r>
            <w:r w:rsidR="000118FC" w:rsidRPr="005F36B9">
              <w:rPr>
                <w:spacing w:val="-4"/>
                <w:lang w:val="kk-KZ"/>
              </w:rPr>
              <w:t>шабыс" ырғағы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408A7" w:rsidRPr="005F36B9" w:rsidTr="00014DA7">
        <w:tc>
          <w:tcPr>
            <w:tcW w:w="2554" w:type="dxa"/>
            <w:vMerge w:val="restart"/>
            <w:shd w:val="clear" w:color="auto" w:fill="auto"/>
          </w:tcPr>
          <w:p w:rsidR="00697D19" w:rsidRPr="005F36B9" w:rsidRDefault="000118FC" w:rsidP="00D8798D">
            <w:pPr>
              <w:ind w:right="-24"/>
              <w:rPr>
                <w:spacing w:val="-4"/>
                <w:lang w:val="ru-RU"/>
              </w:rPr>
            </w:pPr>
            <w:r w:rsidRPr="005F36B9">
              <w:rPr>
                <w:spacing w:val="-4"/>
                <w:lang w:val="kk-KZ"/>
              </w:rPr>
              <w:t>Қантамырлар тарапынан бұзылулар</w:t>
            </w:r>
            <w:r w:rsidRPr="005F36B9">
              <w:rPr>
                <w:spacing w:val="-4"/>
                <w:lang w:val="kk-KZ"/>
              </w:rPr>
              <w:tab/>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Ысыну</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+1</w:t>
            </w:r>
            <w:r w:rsidRPr="005F36B9">
              <w:rPr>
                <w:spacing w:val="-4"/>
                <w:lang w:val="kk-KZ"/>
              </w:rPr>
              <w:t>Артериалық гипотензия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Вазодилатация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val="restart"/>
            <w:shd w:val="clear" w:color="auto" w:fill="auto"/>
          </w:tcPr>
          <w:p w:rsidR="00697D19" w:rsidRPr="005F36B9" w:rsidRDefault="000118FC" w:rsidP="00D8798D">
            <w:pPr>
              <w:ind w:right="-24"/>
              <w:rPr>
                <w:spacing w:val="-4"/>
              </w:rPr>
            </w:pPr>
            <w:r w:rsidRPr="005F36B9">
              <w:rPr>
                <w:spacing w:val="-4"/>
                <w:lang w:val="kk-KZ"/>
              </w:rPr>
              <w:t>Тыныс алу жолдар жүйесі, кеуде ағзалары және көкірек ортасы тарапынан бұзылулар</w:t>
            </w: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w:t>
            </w:r>
            <w:bookmarkStart w:id="14" w:name="_Hlk63927940"/>
            <w:r w:rsidRPr="005F36B9">
              <w:rPr>
                <w:spacing w:val="-4"/>
                <w:lang w:val="kk-KZ"/>
              </w:rPr>
              <w:t>Ентігу</w:t>
            </w:r>
            <w:bookmarkEnd w:id="14"/>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bookmarkStart w:id="15" w:name="_Hlk63927953"/>
            <w:r w:rsidRPr="005F36B9">
              <w:rPr>
                <w:spacing w:val="-4"/>
                <w:lang w:val="kk-KZ"/>
              </w:rPr>
              <w:t>Жөтел</w:t>
            </w:r>
            <w:bookmarkEnd w:id="15"/>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Мұрыннан қан кету</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Ринорея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w:t>
            </w:r>
            <w:r w:rsidRPr="005F36B9">
              <w:rPr>
                <w:spacing w:val="-4"/>
                <w:lang w:val="kk-KZ"/>
              </w:rPr>
              <w:t>Пневмония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Бронх демікпесі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Өкпе функциясының бұзылуы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w:t>
            </w:r>
            <w:r w:rsidRPr="005F36B9">
              <w:rPr>
                <w:spacing w:val="-4"/>
                <w:lang w:val="kk-KZ"/>
              </w:rPr>
              <w:t>Плевральді жалқық</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CB6DD3">
            <w:pPr>
              <w:ind w:right="-24"/>
              <w:rPr>
                <w:spacing w:val="-4"/>
                <w:lang w:val="ru-RU"/>
              </w:rPr>
            </w:pPr>
            <w:r w:rsidRPr="005F36B9">
              <w:rPr>
                <w:spacing w:val="-4"/>
                <w:vertAlign w:val="superscript"/>
                <w:lang w:val="kk-KZ"/>
              </w:rPr>
              <w:t>+1</w:t>
            </w:r>
            <w:r w:rsidRPr="005F36B9">
              <w:rPr>
                <w:spacing w:val="-4"/>
                <w:lang w:val="kk-KZ"/>
              </w:rPr>
              <w:t>Бронх обструкциялық синдром</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 емес</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Пневмонит</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 емес</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w:t>
            </w:r>
            <w:r w:rsidRPr="005F36B9">
              <w:rPr>
                <w:spacing w:val="-4"/>
                <w:lang w:val="kk-KZ"/>
              </w:rPr>
              <w:t>Өкпе фиброзы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3A4EC7">
            <w:pPr>
              <w:ind w:right="-24"/>
              <w:rPr>
                <w:spacing w:val="-4"/>
                <w:lang w:val="ru-RU"/>
              </w:rPr>
            </w:pPr>
            <w:r w:rsidRPr="005F36B9">
              <w:rPr>
                <w:spacing w:val="-4"/>
                <w:vertAlign w:val="superscript"/>
                <w:lang w:val="kk-KZ"/>
              </w:rPr>
              <w:t>+</w:t>
            </w:r>
            <w:r w:rsidR="003A4EC7" w:rsidRPr="005F36B9">
              <w:rPr>
                <w:spacing w:val="-4"/>
                <w:lang w:val="kk-KZ"/>
              </w:rPr>
              <w:t>Тыныс алудың бұзылуы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w:t>
            </w:r>
            <w:r w:rsidRPr="005F36B9">
              <w:rPr>
                <w:spacing w:val="-4"/>
                <w:lang w:val="kk-KZ"/>
              </w:rPr>
              <w:t>Тыныс алу жеткіліксіздігі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CB6DD3">
            <w:pPr>
              <w:ind w:right="-24"/>
              <w:rPr>
                <w:spacing w:val="-4"/>
                <w:lang w:val="ru-RU"/>
              </w:rPr>
            </w:pPr>
            <w:r w:rsidRPr="005F36B9">
              <w:rPr>
                <w:spacing w:val="-4"/>
                <w:vertAlign w:val="superscript"/>
                <w:lang w:val="kk-KZ"/>
              </w:rPr>
              <w:t>+</w:t>
            </w:r>
            <w:r w:rsidRPr="005F36B9">
              <w:rPr>
                <w:spacing w:val="-4"/>
                <w:lang w:val="kk-KZ"/>
              </w:rPr>
              <w:t>Өкпе инфильтрациясы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CB6DD3">
            <w:pPr>
              <w:ind w:right="-24"/>
              <w:rPr>
                <w:spacing w:val="-4"/>
                <w:lang w:val="ru-RU"/>
              </w:rPr>
            </w:pPr>
            <w:r w:rsidRPr="005F36B9">
              <w:rPr>
                <w:spacing w:val="-4"/>
                <w:vertAlign w:val="superscript"/>
                <w:lang w:val="kk-KZ"/>
              </w:rPr>
              <w:t>+</w:t>
            </w:r>
            <w:r w:rsidRPr="005F36B9">
              <w:rPr>
                <w:spacing w:val="-4"/>
                <w:lang w:val="kk-KZ"/>
              </w:rPr>
              <w:t>Өкпенің жедел ісінуі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CB6DD3">
            <w:pPr>
              <w:ind w:right="-24"/>
              <w:rPr>
                <w:spacing w:val="-4"/>
                <w:lang w:val="ru-RU"/>
              </w:rPr>
            </w:pPr>
            <w:r w:rsidRPr="005F36B9">
              <w:rPr>
                <w:spacing w:val="-4"/>
                <w:vertAlign w:val="superscript"/>
                <w:lang w:val="kk-KZ"/>
              </w:rPr>
              <w:t>+</w:t>
            </w:r>
            <w:r w:rsidRPr="005F36B9">
              <w:rPr>
                <w:spacing w:val="-4"/>
                <w:lang w:val="kk-KZ"/>
              </w:rPr>
              <w:t>Жедел респираторлық дистресс-синдром</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CB6DD3">
            <w:pPr>
              <w:ind w:right="-24"/>
              <w:rPr>
                <w:spacing w:val="-4"/>
                <w:lang w:val="ru-RU"/>
              </w:rPr>
            </w:pPr>
            <w:r w:rsidRPr="005F36B9">
              <w:rPr>
                <w:spacing w:val="-4"/>
                <w:vertAlign w:val="superscript"/>
                <w:lang w:val="kk-KZ"/>
              </w:rPr>
              <w:t>+</w:t>
            </w:r>
            <w:r w:rsidRPr="005F36B9">
              <w:rPr>
                <w:spacing w:val="-4"/>
                <w:lang w:val="kk-KZ"/>
              </w:rPr>
              <w:t>Бронх түйілуі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w:t>
            </w:r>
            <w:r w:rsidRPr="005F36B9">
              <w:rPr>
                <w:spacing w:val="-4"/>
                <w:lang w:val="kk-KZ"/>
              </w:rPr>
              <w:t>Гипоксия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CB6DD3">
            <w:pPr>
              <w:ind w:right="-24"/>
              <w:rPr>
                <w:spacing w:val="-4"/>
                <w:lang w:val="ru-RU"/>
              </w:rPr>
            </w:pPr>
            <w:r w:rsidRPr="005F36B9">
              <w:rPr>
                <w:spacing w:val="-4"/>
                <w:vertAlign w:val="superscript"/>
                <w:lang w:val="kk-KZ"/>
              </w:rPr>
              <w:t>+</w:t>
            </w:r>
            <w:r w:rsidRPr="005F36B9">
              <w:rPr>
                <w:spacing w:val="-4"/>
                <w:lang w:val="kk-KZ"/>
              </w:rPr>
              <w:t>Қанның оттегімен қанығуының төмендеуі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Көмейдің ісінуі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Ортопноэ</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Өкпенің ісінуі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 xml:space="preserve">Өкпенің интерстициальді </w:t>
            </w:r>
            <w:r w:rsidR="00014DA7" w:rsidRPr="005F36B9">
              <w:rPr>
                <w:spacing w:val="-4"/>
                <w:lang w:val="kk-KZ"/>
              </w:rPr>
              <w:t>ауруы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val="restart"/>
            <w:shd w:val="clear" w:color="auto" w:fill="auto"/>
          </w:tcPr>
          <w:p w:rsidR="00697D19" w:rsidRPr="005F36B9" w:rsidRDefault="000118FC" w:rsidP="00D8798D">
            <w:pPr>
              <w:ind w:right="-24"/>
              <w:rPr>
                <w:spacing w:val="-4"/>
                <w:lang w:val="ru-RU"/>
              </w:rPr>
            </w:pPr>
            <w:r w:rsidRPr="005F36B9">
              <w:rPr>
                <w:spacing w:val="-4"/>
                <w:lang w:val="kk-KZ"/>
              </w:rPr>
              <w:t>Асқазан-ішек бұзылыстары</w:t>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Диарея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Құсу</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Жүрек айнуы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1</w:t>
            </w:r>
            <w:r w:rsidRPr="005F36B9">
              <w:rPr>
                <w:spacing w:val="-4"/>
                <w:lang w:val="kk-KZ"/>
              </w:rPr>
              <w:t>Еріннің ісінуі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Іштің ауыруы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Диспепсия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Іш қату</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Стоматит</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Геморрой</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Ауыздың құрғауы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val="restart"/>
            <w:shd w:val="clear" w:color="auto" w:fill="auto"/>
          </w:tcPr>
          <w:p w:rsidR="00697D19" w:rsidRPr="005F36B9" w:rsidRDefault="000118FC" w:rsidP="00D8798D">
            <w:pPr>
              <w:ind w:right="-24"/>
              <w:rPr>
                <w:spacing w:val="-4"/>
              </w:rPr>
            </w:pPr>
            <w:r w:rsidRPr="005F36B9">
              <w:rPr>
                <w:spacing w:val="-4"/>
                <w:lang w:val="kk-KZ"/>
              </w:rPr>
              <w:t>Бауыр және өт шығару жолдары тарапынан бұзылулар</w:t>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Гепатоцеллюлярлы зақымданулар</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Гепатит</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Бауыр аймағының ауырсынуы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Сарғаю</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Сирек</w:t>
            </w:r>
          </w:p>
        </w:tc>
      </w:tr>
      <w:tr w:rsidR="00EF574F" w:rsidRPr="005F36B9" w:rsidTr="00014DA7">
        <w:tc>
          <w:tcPr>
            <w:tcW w:w="2554" w:type="dxa"/>
            <w:vMerge w:val="restart"/>
            <w:shd w:val="clear" w:color="auto" w:fill="auto"/>
          </w:tcPr>
          <w:p w:rsidR="00697D19" w:rsidRPr="005F36B9" w:rsidRDefault="000118FC" w:rsidP="00D8798D">
            <w:pPr>
              <w:ind w:right="-24"/>
              <w:rPr>
                <w:spacing w:val="-4"/>
              </w:rPr>
            </w:pPr>
            <w:r w:rsidRPr="005F36B9">
              <w:rPr>
                <w:spacing w:val="-4"/>
                <w:lang w:val="kk-KZ"/>
              </w:rPr>
              <w:t>Тері және тері асты тіндері тарапынан бұзылулар</w:t>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Эритема</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Бөртпе</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1</w:t>
            </w:r>
            <w:r w:rsidRPr="005F36B9">
              <w:rPr>
                <w:spacing w:val="-4"/>
                <w:lang w:val="kk-KZ"/>
              </w:rPr>
              <w:t>Беттің ісінуі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Алопеция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Тырнақ құрылымының бұзылуы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Алақан-табан эритродизестезия синдромы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Акне</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Терінің құрғауы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Экхимоз</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Гипергидроз</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Макуло-папулезді бөртпе</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Қышыну</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Онихоклазия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Дерматит</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Есекжем</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 емес</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Ангионевроздық ісіну</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val="restart"/>
            <w:shd w:val="clear" w:color="auto" w:fill="auto"/>
          </w:tcPr>
          <w:p w:rsidR="00697D19" w:rsidRPr="005F36B9" w:rsidRDefault="000118FC" w:rsidP="00D8798D">
            <w:pPr>
              <w:ind w:right="-24"/>
              <w:rPr>
                <w:spacing w:val="-4"/>
              </w:rPr>
            </w:pPr>
            <w:r w:rsidRPr="005F36B9">
              <w:rPr>
                <w:spacing w:val="-4"/>
                <w:lang w:val="kk-KZ"/>
              </w:rPr>
              <w:t>Бұлшықет, қаңқа және дәнекер тін тарапынан бұзылулар</w:t>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Артралгия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vertAlign w:val="superscript"/>
                <w:lang w:val="kk-KZ"/>
              </w:rPr>
              <w:t>1</w:t>
            </w:r>
            <w:r w:rsidRPr="005F36B9">
              <w:rPr>
                <w:spacing w:val="-4"/>
                <w:lang w:val="kk-KZ"/>
              </w:rPr>
              <w:t>Қимыл шектелісі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Миалгия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Артрит</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Арқаның ауыруы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Сүйектің ауыруы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Бұлшықеттің түйілуі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Мойын аймағының ауыруы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Аяқ-қолдың ауыруы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val="restart"/>
            <w:shd w:val="clear" w:color="auto" w:fill="auto"/>
          </w:tcPr>
          <w:p w:rsidR="00697D19" w:rsidRPr="005F36B9" w:rsidRDefault="000118FC" w:rsidP="00D8798D">
            <w:pPr>
              <w:ind w:right="-24"/>
              <w:rPr>
                <w:spacing w:val="-4"/>
              </w:rPr>
            </w:pPr>
            <w:r w:rsidRPr="005F36B9">
              <w:rPr>
                <w:spacing w:val="-4"/>
                <w:lang w:val="kk-KZ"/>
              </w:rPr>
              <w:t>Бүйрек және несеп шығару жолының тарапынан бұзылулар</w:t>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Бүйрек функциясының бұзылуы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Жарғақшалы гломерулонефрит</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Гломерулонефропатия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Бүйрек жеткіліксіздігі</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val="restart"/>
            <w:shd w:val="clear" w:color="auto" w:fill="auto"/>
          </w:tcPr>
          <w:p w:rsidR="00697D19" w:rsidRPr="005F36B9" w:rsidRDefault="000118FC" w:rsidP="00D8798D">
            <w:pPr>
              <w:ind w:right="-24"/>
              <w:rPr>
                <w:spacing w:val="-4"/>
              </w:rPr>
            </w:pPr>
            <w:r w:rsidRPr="005F36B9">
              <w:rPr>
                <w:spacing w:val="-4"/>
                <w:lang w:val="kk-KZ"/>
              </w:rPr>
              <w:t>Жүктілік, босанғаннан кейінгі кезең және перинатальді жағдайлар</w:t>
            </w:r>
            <w:r w:rsidRPr="005F36B9">
              <w:rPr>
                <w:spacing w:val="-4"/>
                <w:lang w:val="kk-KZ"/>
              </w:rPr>
              <w:tab/>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Олигогидрамнион</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Бүйрек гипоплазиясы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Өкпе гипоплазиясы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Белгісіз</w:t>
            </w:r>
          </w:p>
        </w:tc>
      </w:tr>
      <w:tr w:rsidR="00EF574F" w:rsidRPr="005F36B9" w:rsidTr="00014DA7">
        <w:tc>
          <w:tcPr>
            <w:tcW w:w="2554" w:type="dxa"/>
            <w:shd w:val="clear" w:color="auto" w:fill="auto"/>
          </w:tcPr>
          <w:p w:rsidR="00697D19" w:rsidRPr="005F36B9" w:rsidRDefault="000118FC" w:rsidP="00D8798D">
            <w:pPr>
              <w:ind w:right="-24"/>
              <w:rPr>
                <w:spacing w:val="-4"/>
              </w:rPr>
            </w:pPr>
            <w:r w:rsidRPr="005F36B9">
              <w:rPr>
                <w:spacing w:val="-4"/>
                <w:lang w:val="kk-KZ"/>
              </w:rPr>
              <w:t>Ұрпақ өрбіту жүйесі мен сүт бездері тарапынан бұзылулар</w:t>
            </w:r>
          </w:p>
        </w:tc>
        <w:tc>
          <w:tcPr>
            <w:tcW w:w="4988" w:type="dxa"/>
            <w:shd w:val="clear" w:color="auto" w:fill="auto"/>
          </w:tcPr>
          <w:p w:rsidR="00697D19" w:rsidRPr="005F36B9" w:rsidRDefault="000118FC" w:rsidP="00C123E3">
            <w:pPr>
              <w:ind w:right="-24"/>
              <w:rPr>
                <w:spacing w:val="-4"/>
                <w:lang w:val="ru-RU"/>
              </w:rPr>
            </w:pPr>
            <w:r w:rsidRPr="005F36B9">
              <w:rPr>
                <w:spacing w:val="-4"/>
                <w:lang w:val="kk-KZ"/>
              </w:rPr>
              <w:t>Сүт безінің қабынуы/мастит</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val="restart"/>
            <w:shd w:val="clear" w:color="auto" w:fill="auto"/>
          </w:tcPr>
          <w:p w:rsidR="00697D19" w:rsidRPr="005F36B9" w:rsidRDefault="000118FC" w:rsidP="00D8798D">
            <w:pPr>
              <w:ind w:right="-24"/>
              <w:rPr>
                <w:spacing w:val="-4"/>
              </w:rPr>
            </w:pPr>
            <w:r w:rsidRPr="005F36B9">
              <w:rPr>
                <w:spacing w:val="-4"/>
                <w:lang w:val="kk-KZ"/>
              </w:rPr>
              <w:t>Жалпы бұзылыстар және енгізу орнындағы реакциялар</w:t>
            </w:r>
            <w:r w:rsidRPr="005F36B9">
              <w:rPr>
                <w:spacing w:val="-4"/>
                <w:lang w:val="kk-KZ"/>
              </w:rPr>
              <w:tab/>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Астения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Кеуденің ауыруы</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Қалтырау</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Қажу</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Тұмауға ұқсас синдром</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572185">
        <w:trPr>
          <w:trHeight w:val="365"/>
        </w:trPr>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26E24">
            <w:pPr>
              <w:ind w:right="-24"/>
              <w:rPr>
                <w:spacing w:val="-4"/>
                <w:lang w:val="ru-RU"/>
              </w:rPr>
            </w:pPr>
            <w:r w:rsidRPr="005F36B9">
              <w:rPr>
                <w:spacing w:val="-4"/>
                <w:lang w:val="kk-KZ"/>
              </w:rPr>
              <w:t>Инфузиялық реакциялар</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Ауыру</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Пирексия</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Мукозит</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Шеткері ісіну</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Өте 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Дімкәстану</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vMerge/>
            <w:shd w:val="clear" w:color="auto" w:fill="auto"/>
          </w:tcPr>
          <w:p w:rsidR="00697D19" w:rsidRPr="005F36B9" w:rsidRDefault="00697D19" w:rsidP="00D8798D">
            <w:pPr>
              <w:ind w:right="-24"/>
              <w:rPr>
                <w:b/>
                <w:spacing w:val="-4"/>
                <w:lang w:val="ru-RU"/>
              </w:rPr>
            </w:pP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Ісінулер</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r w:rsidR="00EF574F" w:rsidRPr="005F36B9" w:rsidTr="00014DA7">
        <w:tc>
          <w:tcPr>
            <w:tcW w:w="2554" w:type="dxa"/>
            <w:shd w:val="clear" w:color="auto" w:fill="auto"/>
          </w:tcPr>
          <w:p w:rsidR="00697D19" w:rsidRPr="005F36B9" w:rsidRDefault="000118FC" w:rsidP="00D8798D">
            <w:pPr>
              <w:ind w:right="-24"/>
              <w:rPr>
                <w:spacing w:val="-4"/>
              </w:rPr>
            </w:pPr>
            <w:r w:rsidRPr="005F36B9">
              <w:rPr>
                <w:spacing w:val="-4"/>
                <w:lang w:val="kk-KZ"/>
              </w:rPr>
              <w:t>Жарақаттар, уыттану және емшаралардың асқынулары</w:t>
            </w:r>
            <w:r w:rsidRPr="005F36B9">
              <w:rPr>
                <w:spacing w:val="-4"/>
                <w:lang w:val="kk-KZ"/>
              </w:rPr>
              <w:tab/>
            </w:r>
          </w:p>
        </w:tc>
        <w:tc>
          <w:tcPr>
            <w:tcW w:w="4988" w:type="dxa"/>
            <w:shd w:val="clear" w:color="auto" w:fill="auto"/>
          </w:tcPr>
          <w:p w:rsidR="00697D19" w:rsidRPr="005F36B9" w:rsidRDefault="000118FC" w:rsidP="00D8798D">
            <w:pPr>
              <w:ind w:right="-24"/>
              <w:rPr>
                <w:spacing w:val="-4"/>
                <w:lang w:val="ru-RU"/>
              </w:rPr>
            </w:pPr>
            <w:r w:rsidRPr="005F36B9">
              <w:rPr>
                <w:spacing w:val="-4"/>
                <w:lang w:val="kk-KZ"/>
              </w:rPr>
              <w:t xml:space="preserve">Көгеру </w:t>
            </w:r>
          </w:p>
        </w:tc>
        <w:tc>
          <w:tcPr>
            <w:tcW w:w="1417" w:type="dxa"/>
            <w:shd w:val="clear" w:color="auto" w:fill="auto"/>
          </w:tcPr>
          <w:p w:rsidR="00697D19" w:rsidRPr="005F36B9" w:rsidRDefault="000118FC" w:rsidP="00D8798D">
            <w:pPr>
              <w:ind w:right="-24"/>
              <w:rPr>
                <w:spacing w:val="-4"/>
                <w:lang w:val="ru-RU"/>
              </w:rPr>
            </w:pPr>
            <w:r w:rsidRPr="005F36B9">
              <w:rPr>
                <w:spacing w:val="-4"/>
                <w:lang w:val="kk-KZ"/>
              </w:rPr>
              <w:t>Жиі</w:t>
            </w:r>
          </w:p>
        </w:tc>
      </w:tr>
    </w:tbl>
    <w:p w:rsidR="00697D19" w:rsidRPr="005F36B9" w:rsidRDefault="000118FC" w:rsidP="00697D19">
      <w:pPr>
        <w:ind w:right="-24"/>
        <w:jc w:val="both"/>
        <w:rPr>
          <w:spacing w:val="-4"/>
          <w:sz w:val="22"/>
        </w:rPr>
      </w:pPr>
      <w:r w:rsidRPr="005F36B9">
        <w:rPr>
          <w:spacing w:val="-4"/>
          <w:sz w:val="22"/>
          <w:vertAlign w:val="superscript"/>
          <w:lang w:val="kk-KZ"/>
        </w:rPr>
        <w:t>+</w:t>
      </w:r>
      <w:r w:rsidR="00CC48EB" w:rsidRPr="005F36B9">
        <w:rPr>
          <w:spacing w:val="-4"/>
          <w:sz w:val="22"/>
          <w:lang w:val="kk-KZ"/>
        </w:rPr>
        <w:t>Өліммен аяқталған жағдайға байланысты тіркелген жағымсыз реакциялар.</w:t>
      </w:r>
    </w:p>
    <w:p w:rsidR="00697D19" w:rsidRPr="005F36B9" w:rsidRDefault="000118FC" w:rsidP="00697D19">
      <w:pPr>
        <w:ind w:right="-24"/>
        <w:jc w:val="both"/>
        <w:rPr>
          <w:spacing w:val="-4"/>
          <w:sz w:val="22"/>
          <w:lang w:val="kk-KZ"/>
        </w:rPr>
      </w:pPr>
      <w:r w:rsidRPr="005F36B9">
        <w:rPr>
          <w:spacing w:val="-4"/>
          <w:sz w:val="22"/>
          <w:vertAlign w:val="superscript"/>
          <w:lang w:val="kk-KZ"/>
        </w:rPr>
        <w:t>1</w:t>
      </w:r>
      <w:r w:rsidR="00B940D5" w:rsidRPr="005F36B9">
        <w:rPr>
          <w:spacing w:val="-4"/>
          <w:sz w:val="22"/>
          <w:lang w:val="kk-KZ"/>
        </w:rPr>
        <w:t xml:space="preserve">Негізінен препаратты </w:t>
      </w:r>
      <w:r w:rsidR="005816BD" w:rsidRPr="005F36B9">
        <w:rPr>
          <w:spacing w:val="-4"/>
          <w:sz w:val="22"/>
          <w:lang w:val="kk-KZ"/>
        </w:rPr>
        <w:t xml:space="preserve">қолдануға байланысты </w:t>
      </w:r>
      <w:r w:rsidR="00B940D5" w:rsidRPr="005F36B9">
        <w:rPr>
          <w:spacing w:val="-4"/>
          <w:sz w:val="22"/>
          <w:lang w:val="kk-KZ"/>
        </w:rPr>
        <w:t>реакциялармен астасқан жағымсыз реакциялар. Осы реакциялардың жиілігі туралы жекелеген мәліметтер жоқ</w:t>
      </w:r>
      <w:r w:rsidR="00BB39F8" w:rsidRPr="005F36B9">
        <w:rPr>
          <w:spacing w:val="-4"/>
          <w:sz w:val="22"/>
          <w:lang w:val="kk-KZ"/>
        </w:rPr>
        <w:t>.</w:t>
      </w:r>
    </w:p>
    <w:p w:rsidR="00697D19" w:rsidRPr="005F36B9" w:rsidRDefault="000118FC" w:rsidP="00697D19">
      <w:pPr>
        <w:ind w:right="-24"/>
        <w:jc w:val="both"/>
        <w:rPr>
          <w:spacing w:val="-4"/>
          <w:sz w:val="22"/>
          <w:lang w:val="kk-KZ"/>
        </w:rPr>
      </w:pPr>
      <w:r w:rsidRPr="005F36B9">
        <w:rPr>
          <w:spacing w:val="-4"/>
          <w:sz w:val="22"/>
          <w:lang w:val="kk-KZ"/>
        </w:rPr>
        <w:t>*Антрациклиндерді қабылдағаннан кейін және таксандармен біріктірілген ем кезінде байқалған.</w:t>
      </w:r>
    </w:p>
    <w:p w:rsidR="00697D19" w:rsidRPr="005F36B9" w:rsidRDefault="00697D19" w:rsidP="00697D19">
      <w:pPr>
        <w:tabs>
          <w:tab w:val="left" w:pos="2122"/>
          <w:tab w:val="left" w:pos="2265"/>
          <w:tab w:val="left" w:pos="9072"/>
        </w:tabs>
        <w:spacing w:before="11"/>
        <w:ind w:right="-24"/>
        <w:jc w:val="both"/>
        <w:rPr>
          <w:spacing w:val="-4"/>
          <w:lang w:val="kk-KZ" w:eastAsia="ja-JP"/>
        </w:rPr>
      </w:pPr>
    </w:p>
    <w:p w:rsidR="00697D19" w:rsidRPr="005F36B9" w:rsidRDefault="000118FC" w:rsidP="00697D19">
      <w:pPr>
        <w:tabs>
          <w:tab w:val="left" w:pos="2122"/>
          <w:tab w:val="left" w:pos="2265"/>
          <w:tab w:val="left" w:pos="9072"/>
        </w:tabs>
        <w:spacing w:before="11"/>
        <w:ind w:right="-24"/>
        <w:jc w:val="both"/>
        <w:rPr>
          <w:spacing w:val="-4"/>
          <w:lang w:val="kk-KZ" w:eastAsia="ja-JP"/>
        </w:rPr>
      </w:pPr>
      <w:r w:rsidRPr="005F36B9">
        <w:rPr>
          <w:spacing w:val="-4"/>
          <w:u w:val="single"/>
          <w:lang w:val="kk-KZ" w:eastAsia="ja-JP"/>
        </w:rPr>
        <w:t>Жекелеген жағымсыз реакциялардың сипаттамасы</w:t>
      </w:r>
    </w:p>
    <w:p w:rsidR="00697D19" w:rsidRPr="005F36B9" w:rsidRDefault="000118FC" w:rsidP="00697D19">
      <w:pPr>
        <w:jc w:val="both"/>
        <w:rPr>
          <w:i/>
          <w:spacing w:val="-4"/>
          <w:u w:val="single"/>
          <w:lang w:val="kk-KZ"/>
        </w:rPr>
      </w:pPr>
      <w:r w:rsidRPr="005F36B9">
        <w:rPr>
          <w:i/>
          <w:spacing w:val="-4"/>
          <w:u w:val="single"/>
          <w:lang w:val="kk-KZ"/>
        </w:rPr>
        <w:t>Жүрек дисфункциясы</w:t>
      </w:r>
    </w:p>
    <w:p w:rsidR="00697D19" w:rsidRPr="005F36B9" w:rsidRDefault="000118FC" w:rsidP="00697D19">
      <w:pPr>
        <w:jc w:val="both"/>
        <w:rPr>
          <w:spacing w:val="-4"/>
          <w:lang w:val="kk-KZ"/>
        </w:rPr>
      </w:pPr>
      <w:r w:rsidRPr="005F36B9">
        <w:rPr>
          <w:spacing w:val="-4"/>
          <w:lang w:val="kk-KZ"/>
        </w:rPr>
        <w:t xml:space="preserve">Іркілісті жүрек жеткіліксіздігі (NYHA бойынша II-IV функционалдық класс) өліммен аяқталған жағдаймен астасқан </w:t>
      </w:r>
      <w:r w:rsidR="00760605" w:rsidRPr="005F36B9">
        <w:rPr>
          <w:spacing w:val="-4"/>
          <w:lang w:val="kk-KZ"/>
        </w:rPr>
        <w:t xml:space="preserve">трастузумабты </w:t>
      </w:r>
      <w:r w:rsidRPr="005F36B9">
        <w:rPr>
          <w:spacing w:val="-4"/>
          <w:lang w:val="kk-KZ"/>
        </w:rPr>
        <w:t>қолдану кезінде жиі жағымсыз реакция болып табылады</w:t>
      </w:r>
      <w:r w:rsidR="00760605" w:rsidRPr="005F36B9">
        <w:rPr>
          <w:spacing w:val="-4"/>
          <w:lang w:val="kk-KZ"/>
        </w:rPr>
        <w:t>.</w:t>
      </w:r>
      <w:r w:rsidRPr="005F36B9">
        <w:rPr>
          <w:spacing w:val="-4"/>
          <w:lang w:val="kk-KZ"/>
        </w:rPr>
        <w:t xml:space="preserve"> </w:t>
      </w:r>
      <w:r w:rsidR="00760605" w:rsidRPr="005F36B9">
        <w:rPr>
          <w:spacing w:val="-4"/>
          <w:lang w:val="kk-KZ"/>
        </w:rPr>
        <w:t xml:space="preserve">Трастузумабпен </w:t>
      </w:r>
      <w:r w:rsidRPr="005F36B9">
        <w:rPr>
          <w:spacing w:val="-4"/>
          <w:lang w:val="kk-KZ"/>
        </w:rPr>
        <w:t>ем қабылдаған пациенттерде жүрек дисфункциясының мынадай белгілері мен симптомдары байқалды: ентігу, ортопноэ, жөтелдің күшеюі, өкпенің ісінуі, атшабыс ырғағы-S3 немесе қарыншалардың лы</w:t>
      </w:r>
      <w:r w:rsidR="00F5147F" w:rsidRPr="005F36B9">
        <w:rPr>
          <w:spacing w:val="-4"/>
          <w:lang w:val="kk-KZ"/>
        </w:rPr>
        <w:t xml:space="preserve">қсу фракциясының төмендеуі (4.4 </w:t>
      </w:r>
      <w:r w:rsidRPr="005F36B9">
        <w:rPr>
          <w:spacing w:val="-4"/>
          <w:lang w:val="kk-KZ"/>
        </w:rPr>
        <w:t>бөлімді қараңыз).</w:t>
      </w:r>
    </w:p>
    <w:p w:rsidR="00697D19" w:rsidRPr="005F36B9" w:rsidRDefault="000118FC" w:rsidP="00697D19">
      <w:pPr>
        <w:tabs>
          <w:tab w:val="left" w:pos="9072"/>
        </w:tabs>
        <w:ind w:right="-24"/>
        <w:jc w:val="both"/>
        <w:rPr>
          <w:spacing w:val="-4"/>
          <w:lang w:val="kk-KZ"/>
        </w:rPr>
      </w:pPr>
      <w:r w:rsidRPr="005F36B9">
        <w:rPr>
          <w:spacing w:val="-4"/>
          <w:lang w:val="kk-KZ"/>
        </w:rPr>
        <w:t xml:space="preserve">СБеО кезінде адъювантты режимде химиотерапиямен біріктіріп вена ішіне енгізуге арналған </w:t>
      </w:r>
      <w:r w:rsidR="00BF1259" w:rsidRPr="005F36B9">
        <w:rPr>
          <w:spacing w:val="-4"/>
          <w:lang w:val="kk-KZ"/>
        </w:rPr>
        <w:t xml:space="preserve">дәрілік түрдегі </w:t>
      </w:r>
      <w:r w:rsidR="00760605" w:rsidRPr="005F36B9">
        <w:rPr>
          <w:spacing w:val="-4"/>
          <w:lang w:val="kk-KZ"/>
        </w:rPr>
        <w:t xml:space="preserve">трастузумабты </w:t>
      </w:r>
      <w:r w:rsidRPr="005F36B9">
        <w:rPr>
          <w:spacing w:val="-4"/>
          <w:lang w:val="kk-KZ"/>
        </w:rPr>
        <w:t>қолданумен 3 базалық клиникалық зерттеулерде</w:t>
      </w:r>
      <w:r w:rsidR="0064797C" w:rsidRPr="005F36B9">
        <w:rPr>
          <w:spacing w:val="-4"/>
          <w:lang w:val="kk-KZ"/>
        </w:rPr>
        <w:t xml:space="preserve"> </w:t>
      </w:r>
      <w:r w:rsidRPr="005F36B9">
        <w:rPr>
          <w:spacing w:val="-4"/>
          <w:lang w:val="kk-KZ"/>
        </w:rPr>
        <w:t xml:space="preserve">3/4 дәрежелі жүрек дисфункциясының жиілігі (симптоматикалық іркілісті жүрек жеткіліксіздігі) тек химиотерапияны </w:t>
      </w:r>
      <w:r w:rsidR="00CE3F70" w:rsidRPr="005F36B9">
        <w:rPr>
          <w:spacing w:val="-4"/>
          <w:lang w:val="kk-KZ"/>
        </w:rPr>
        <w:t>трастузумабты (</w:t>
      </w:r>
      <w:r w:rsidR="00760605" w:rsidRPr="005F36B9">
        <w:rPr>
          <w:spacing w:val="-4"/>
          <w:lang w:val="kk-KZ"/>
        </w:rPr>
        <w:t>трастузумаб</w:t>
      </w:r>
      <w:r w:rsidRPr="005F36B9">
        <w:rPr>
          <w:spacing w:val="-4"/>
          <w:lang w:val="kk-KZ"/>
        </w:rPr>
        <w:t xml:space="preserve">сыз) қабылдаған пациенттерде және таксандар мен </w:t>
      </w:r>
      <w:r w:rsidR="00760605" w:rsidRPr="005F36B9">
        <w:rPr>
          <w:spacing w:val="-4"/>
          <w:lang w:val="kk-KZ"/>
        </w:rPr>
        <w:t xml:space="preserve">трастузумабты </w:t>
      </w:r>
      <w:r w:rsidRPr="005F36B9">
        <w:rPr>
          <w:spacing w:val="-4"/>
          <w:lang w:val="kk-KZ"/>
        </w:rPr>
        <w:t xml:space="preserve">бірізді (0.3-0.4%) қабылдаған пациенттерде салыстырмалы болды. </w:t>
      </w:r>
      <w:r w:rsidR="00CE3F70" w:rsidRPr="005F36B9">
        <w:rPr>
          <w:spacing w:val="-4"/>
          <w:lang w:val="kk-KZ"/>
        </w:rPr>
        <w:t xml:space="preserve">Трастузумабты </w:t>
      </w:r>
      <w:r w:rsidRPr="005F36B9">
        <w:rPr>
          <w:spacing w:val="-4"/>
          <w:lang w:val="kk-KZ"/>
        </w:rPr>
        <w:t xml:space="preserve">таксандармен бірге қабылдаған пациенттерде жүрек дисфункциясы (2.0%) жиі байқалды. </w:t>
      </w:r>
      <w:r w:rsidR="00EF7DEC" w:rsidRPr="005F36B9">
        <w:rPr>
          <w:spacing w:val="-4"/>
          <w:lang w:val="kk-KZ"/>
        </w:rPr>
        <w:t>Трастузумабты</w:t>
      </w:r>
      <w:r w:rsidRPr="005F36B9">
        <w:rPr>
          <w:spacing w:val="-4"/>
          <w:lang w:val="kk-KZ"/>
        </w:rPr>
        <w:t xml:space="preserve"> неоадъювантты режимде антрациклиндер негізіндегі төмен дозалы емдеу режимдерімен бірге қ</w:t>
      </w:r>
      <w:r w:rsidR="00F5147F" w:rsidRPr="005F36B9">
        <w:rPr>
          <w:spacing w:val="-4"/>
          <w:lang w:val="kk-KZ"/>
        </w:rPr>
        <w:t xml:space="preserve">олдану тәжірибесі шектеулі (4.4 </w:t>
      </w:r>
      <w:r w:rsidRPr="005F36B9">
        <w:rPr>
          <w:spacing w:val="-4"/>
          <w:lang w:val="kk-KZ"/>
        </w:rPr>
        <w:t>бөлімді қараңыз).</w:t>
      </w:r>
    </w:p>
    <w:p w:rsidR="00697D19" w:rsidRPr="005F36B9" w:rsidRDefault="000118FC" w:rsidP="00697D19">
      <w:pPr>
        <w:tabs>
          <w:tab w:val="left" w:pos="9072"/>
        </w:tabs>
        <w:ind w:right="-24"/>
        <w:jc w:val="both"/>
        <w:rPr>
          <w:spacing w:val="-4"/>
          <w:lang w:val="kk-KZ"/>
        </w:rPr>
      </w:pPr>
      <w:r w:rsidRPr="005F36B9">
        <w:rPr>
          <w:spacing w:val="-4"/>
          <w:lang w:val="kk-KZ"/>
        </w:rPr>
        <w:t xml:space="preserve">Адъювантты химиотерапия аяқталғаннан кейін бір жыл ішінде </w:t>
      </w:r>
      <w:r w:rsidR="00EF7DEC" w:rsidRPr="005F36B9">
        <w:rPr>
          <w:spacing w:val="-4"/>
          <w:lang w:val="kk-KZ"/>
        </w:rPr>
        <w:t>трастузумабты</w:t>
      </w:r>
      <w:r w:rsidRPr="005F36B9">
        <w:rPr>
          <w:spacing w:val="-4"/>
          <w:lang w:val="kk-KZ"/>
        </w:rPr>
        <w:t xml:space="preserve"> қолданғанда NYHA бойынша III-IV функционалды класс жүрек жеткі</w:t>
      </w:r>
      <w:r w:rsidR="00F5147F" w:rsidRPr="005F36B9">
        <w:rPr>
          <w:spacing w:val="-4"/>
          <w:lang w:val="kk-KZ"/>
        </w:rPr>
        <w:t>ліксіздігі пациенттердің 0.6%-</w:t>
      </w:r>
      <w:r w:rsidRPr="005F36B9">
        <w:rPr>
          <w:spacing w:val="-4"/>
          <w:lang w:val="kk-KZ"/>
        </w:rPr>
        <w:t xml:space="preserve">ында 12 ай кейінгі бақылау медианасы кезінде байқалды. ВО16348 зерттеуінде кейінгі 8 жыл бақылау медианасы кезінде </w:t>
      </w:r>
      <w:r w:rsidR="00EF7DEC" w:rsidRPr="005F36B9">
        <w:rPr>
          <w:spacing w:val="-4"/>
          <w:lang w:val="kk-KZ"/>
        </w:rPr>
        <w:t>трастузумабп</w:t>
      </w:r>
      <w:r w:rsidRPr="005F36B9">
        <w:rPr>
          <w:spacing w:val="-4"/>
          <w:lang w:val="kk-KZ"/>
        </w:rPr>
        <w:t>ен емдеу тобындағы ауыр ІЖЖ (NYHA бойынша III және IV функционалды класс</w:t>
      </w:r>
      <w:r w:rsidR="00F5147F" w:rsidRPr="005F36B9">
        <w:rPr>
          <w:spacing w:val="-4"/>
          <w:lang w:val="kk-KZ"/>
        </w:rPr>
        <w:t>) жиілігі бір жыл ішінде 0.8%-</w:t>
      </w:r>
      <w:r w:rsidRPr="005F36B9">
        <w:rPr>
          <w:spacing w:val="-4"/>
          <w:lang w:val="kk-KZ"/>
        </w:rPr>
        <w:t>ды, ал сол қарыншаның жеңіл симптоматикалық және симптомсыз</w:t>
      </w:r>
      <w:r w:rsidR="00F5147F" w:rsidRPr="005F36B9">
        <w:rPr>
          <w:spacing w:val="-4"/>
          <w:lang w:val="kk-KZ"/>
        </w:rPr>
        <w:t xml:space="preserve"> дисфункциясының жиілігі 4.6%-</w:t>
      </w:r>
      <w:r w:rsidRPr="005F36B9">
        <w:rPr>
          <w:spacing w:val="-4"/>
          <w:lang w:val="kk-KZ"/>
        </w:rPr>
        <w:t>ды құрады.</w:t>
      </w:r>
    </w:p>
    <w:p w:rsidR="00697D19" w:rsidRPr="005F36B9" w:rsidRDefault="000118FC" w:rsidP="00697D19">
      <w:pPr>
        <w:pStyle w:val="ac"/>
        <w:spacing w:before="0" w:beforeAutospacing="0" w:after="0" w:afterAutospacing="0"/>
        <w:jc w:val="both"/>
        <w:rPr>
          <w:rFonts w:eastAsia="MS Mincho"/>
          <w:spacing w:val="-4"/>
          <w:lang w:val="kk-KZ"/>
        </w:rPr>
      </w:pPr>
      <w:r w:rsidRPr="005F36B9">
        <w:rPr>
          <w:rFonts w:eastAsia="MS Mincho"/>
          <w:spacing w:val="-4"/>
          <w:lang w:val="kk-KZ"/>
        </w:rPr>
        <w:t xml:space="preserve">Ауыр ІЖЖ қайтымдылығы </w:t>
      </w:r>
      <w:r w:rsidR="00EF7DEC" w:rsidRPr="005F36B9">
        <w:rPr>
          <w:rFonts w:eastAsia="MS Mincho"/>
          <w:spacing w:val="-4"/>
          <w:lang w:val="kk-KZ"/>
        </w:rPr>
        <w:t xml:space="preserve">трастузумабпен </w:t>
      </w:r>
      <w:r w:rsidRPr="005F36B9">
        <w:rPr>
          <w:rFonts w:eastAsia="MS Mincho"/>
          <w:spacing w:val="-4"/>
          <w:lang w:val="kk-KZ"/>
        </w:rPr>
        <w:t>ем қабылдаған пациенттердің 71.4</w:t>
      </w:r>
      <w:r w:rsidR="00F5147F" w:rsidRPr="005F36B9">
        <w:rPr>
          <w:rFonts w:eastAsia="MS Mincho"/>
          <w:spacing w:val="-4"/>
          <w:lang w:val="kk-KZ"/>
        </w:rPr>
        <w:t>%-</w:t>
      </w:r>
      <w:r w:rsidRPr="005F36B9">
        <w:rPr>
          <w:rFonts w:eastAsia="MS Mincho"/>
          <w:spacing w:val="-4"/>
          <w:lang w:val="kk-KZ"/>
        </w:rPr>
        <w:t>ында байқалды (қайтымдылығы: оқиғадан кейін кем дегенде екі рет қатарынан СҚЛФ көрсеткіші ≥50%). Сол жақ қарыншаның жеңіл симптоматикалық және сипмтомсыз дисфункциясының қай</w:t>
      </w:r>
      <w:r w:rsidR="00F5147F" w:rsidRPr="005F36B9">
        <w:rPr>
          <w:rFonts w:eastAsia="MS Mincho"/>
          <w:spacing w:val="-4"/>
          <w:lang w:val="kk-KZ"/>
        </w:rPr>
        <w:t>тымдылығы пациенттердің 79.5%-</w:t>
      </w:r>
      <w:r w:rsidRPr="005F36B9">
        <w:rPr>
          <w:rFonts w:eastAsia="MS Mincho"/>
          <w:spacing w:val="-4"/>
          <w:lang w:val="kk-KZ"/>
        </w:rPr>
        <w:t xml:space="preserve">ында байқалды. Жүрек дисфункциясына байланысты </w:t>
      </w:r>
      <w:r w:rsidR="00F5147F" w:rsidRPr="005F36B9">
        <w:rPr>
          <w:rFonts w:eastAsia="MS Mincho"/>
          <w:spacing w:val="-4"/>
          <w:lang w:val="kk-KZ"/>
        </w:rPr>
        <w:t>оқиғалардың шамамен 17%-</w:t>
      </w:r>
      <w:r w:rsidRPr="005F36B9">
        <w:rPr>
          <w:rFonts w:eastAsia="MS Mincho"/>
          <w:spacing w:val="-4"/>
          <w:lang w:val="kk-KZ"/>
        </w:rPr>
        <w:t xml:space="preserve">ы </w:t>
      </w:r>
      <w:r w:rsidR="00EF7DEC" w:rsidRPr="005F36B9">
        <w:rPr>
          <w:rFonts w:eastAsia="MS Mincho"/>
          <w:spacing w:val="-4"/>
          <w:lang w:val="kk-KZ"/>
        </w:rPr>
        <w:t>трастузумабп</w:t>
      </w:r>
      <w:r w:rsidRPr="005F36B9">
        <w:rPr>
          <w:rFonts w:eastAsia="MS Mincho"/>
          <w:spacing w:val="-4"/>
          <w:lang w:val="kk-KZ"/>
        </w:rPr>
        <w:t xml:space="preserve">ен </w:t>
      </w:r>
      <w:r w:rsidR="00A7651C" w:rsidRPr="005F36B9">
        <w:rPr>
          <w:rFonts w:eastAsia="MS Mincho"/>
          <w:spacing w:val="-4"/>
          <w:lang w:val="kk-KZ"/>
        </w:rPr>
        <w:t xml:space="preserve">ем аяқталғаннан </w:t>
      </w:r>
      <w:r w:rsidRPr="005F36B9">
        <w:rPr>
          <w:rFonts w:eastAsia="MS Mincho"/>
          <w:spacing w:val="-4"/>
          <w:lang w:val="kk-KZ"/>
        </w:rPr>
        <w:t>кейін пайда болды.</w:t>
      </w:r>
    </w:p>
    <w:p w:rsidR="00697D19" w:rsidRPr="005F36B9" w:rsidRDefault="000118FC" w:rsidP="00697D19">
      <w:pPr>
        <w:pStyle w:val="ac"/>
        <w:spacing w:before="0" w:beforeAutospacing="0" w:after="0" w:afterAutospacing="0"/>
        <w:jc w:val="both"/>
        <w:rPr>
          <w:spacing w:val="-4"/>
          <w:lang w:val="kk-KZ"/>
        </w:rPr>
      </w:pPr>
      <w:r w:rsidRPr="005F36B9">
        <w:rPr>
          <w:rFonts w:eastAsia="MS Mincho"/>
          <w:spacing w:val="-4"/>
          <w:lang w:val="kk-KZ"/>
        </w:rPr>
        <w:t>Базалық клиникалық зерттеулерде СБмО кезінде</w:t>
      </w:r>
      <w:r w:rsidR="008B721E" w:rsidRPr="005F36B9">
        <w:rPr>
          <w:rFonts w:eastAsia="MS Mincho"/>
          <w:spacing w:val="-4"/>
          <w:lang w:val="kk-KZ"/>
        </w:rPr>
        <w:t xml:space="preserve"> </w:t>
      </w:r>
      <w:r w:rsidRPr="005F36B9">
        <w:rPr>
          <w:rFonts w:eastAsia="MS Mincho"/>
          <w:spacing w:val="-4"/>
          <w:lang w:val="kk-KZ"/>
        </w:rPr>
        <w:t>паклитакселмен монотерапиядағы 1%-</w:t>
      </w:r>
      <w:r w:rsidR="00F5147F" w:rsidRPr="005F36B9">
        <w:rPr>
          <w:rFonts w:eastAsia="MS Mincho"/>
          <w:spacing w:val="-4"/>
          <w:lang w:val="kk-KZ"/>
        </w:rPr>
        <w:t>4%-</w:t>
      </w:r>
      <w:r w:rsidRPr="005F36B9">
        <w:rPr>
          <w:rFonts w:eastAsia="MS Mincho"/>
          <w:spacing w:val="-4"/>
          <w:lang w:val="kk-KZ"/>
        </w:rPr>
        <w:t xml:space="preserve">бен салыстырғанда вена ішіне енгізуге арналған </w:t>
      </w:r>
      <w:r w:rsidR="00BF1259" w:rsidRPr="005F36B9">
        <w:rPr>
          <w:rFonts w:eastAsia="MS Mincho"/>
          <w:spacing w:val="-4"/>
          <w:lang w:val="kk-KZ"/>
        </w:rPr>
        <w:t xml:space="preserve">дәрілік түрдегі </w:t>
      </w:r>
      <w:r w:rsidR="00EF7DEC" w:rsidRPr="005F36B9">
        <w:rPr>
          <w:rFonts w:eastAsia="MS Mincho"/>
          <w:spacing w:val="-4"/>
          <w:lang w:val="kk-KZ"/>
        </w:rPr>
        <w:t xml:space="preserve">трастузумабты </w:t>
      </w:r>
      <w:r w:rsidRPr="005F36B9">
        <w:rPr>
          <w:rFonts w:eastAsia="MS Mincho"/>
          <w:spacing w:val="-4"/>
          <w:lang w:val="kk-KZ"/>
        </w:rPr>
        <w:t>паклитакселмен бірге қолдану кезінде жүрек</w:t>
      </w:r>
      <w:r w:rsidR="00F5147F" w:rsidRPr="005F36B9">
        <w:rPr>
          <w:rFonts w:eastAsia="MS Mincho"/>
          <w:spacing w:val="-4"/>
          <w:lang w:val="kk-KZ"/>
        </w:rPr>
        <w:t xml:space="preserve"> дисфункциясының жиілігі 9%</w:t>
      </w:r>
      <w:r w:rsidRPr="005F36B9">
        <w:rPr>
          <w:rFonts w:eastAsia="MS Mincho"/>
          <w:spacing w:val="-4"/>
          <w:lang w:val="kk-KZ"/>
        </w:rPr>
        <w:t>-</w:t>
      </w:r>
      <w:r w:rsidR="00F5147F" w:rsidRPr="005F36B9">
        <w:rPr>
          <w:rFonts w:eastAsia="MS Mincho"/>
          <w:spacing w:val="-4"/>
          <w:lang w:val="kk-KZ"/>
        </w:rPr>
        <w:t>дан 12%-</w:t>
      </w:r>
      <w:r w:rsidRPr="005F36B9">
        <w:rPr>
          <w:rFonts w:eastAsia="MS Mincho"/>
          <w:spacing w:val="-4"/>
          <w:lang w:val="kk-KZ"/>
        </w:rPr>
        <w:t xml:space="preserve">ға дейін құбылды. </w:t>
      </w:r>
      <w:r w:rsidR="00EF7DEC" w:rsidRPr="005F36B9">
        <w:rPr>
          <w:rFonts w:eastAsia="MS Mincho"/>
          <w:spacing w:val="-4"/>
          <w:lang w:val="kk-KZ"/>
        </w:rPr>
        <w:t>Трастузумабп</w:t>
      </w:r>
      <w:r w:rsidRPr="005F36B9">
        <w:rPr>
          <w:rFonts w:eastAsia="MS Mincho"/>
          <w:spacing w:val="-4"/>
          <w:lang w:val="kk-KZ"/>
        </w:rPr>
        <w:t>ен монот</w:t>
      </w:r>
      <w:r w:rsidR="00F5147F" w:rsidRPr="005F36B9">
        <w:rPr>
          <w:rFonts w:eastAsia="MS Mincho"/>
          <w:spacing w:val="-4"/>
          <w:lang w:val="kk-KZ"/>
        </w:rPr>
        <w:t>ерапия кезінде бұл көрсеткіш 6%</w:t>
      </w:r>
      <w:r w:rsidRPr="005F36B9">
        <w:rPr>
          <w:rFonts w:eastAsia="MS Mincho"/>
          <w:spacing w:val="-4"/>
          <w:lang w:val="kk-KZ"/>
        </w:rPr>
        <w:t xml:space="preserve">-9% құрады. Жүрек дисфункциясы </w:t>
      </w:r>
      <w:r w:rsidR="00EF7DEC" w:rsidRPr="005F36B9">
        <w:rPr>
          <w:rFonts w:eastAsia="MS Mincho"/>
          <w:spacing w:val="-4"/>
          <w:lang w:val="kk-KZ"/>
        </w:rPr>
        <w:t>трастузумабты</w:t>
      </w:r>
      <w:r w:rsidRPr="005F36B9">
        <w:rPr>
          <w:rFonts w:eastAsia="MS Mincho"/>
          <w:spacing w:val="-4"/>
          <w:lang w:val="kk-KZ"/>
        </w:rPr>
        <w:t xml:space="preserve"> антрациклиндермен/циклофосфамидпен (27%) бірге қабылдаған пациенттерде жиі байқалды, бұл тек антраци</w:t>
      </w:r>
      <w:r w:rsidR="00F5147F" w:rsidRPr="005F36B9">
        <w:rPr>
          <w:rFonts w:eastAsia="MS Mincho"/>
          <w:spacing w:val="-4"/>
          <w:lang w:val="kk-KZ"/>
        </w:rPr>
        <w:t>клиндермен/циклофосфамидпен (7%</w:t>
      </w:r>
      <w:r w:rsidRPr="005F36B9">
        <w:rPr>
          <w:rFonts w:eastAsia="MS Mincho"/>
          <w:spacing w:val="-4"/>
          <w:lang w:val="kk-KZ"/>
        </w:rPr>
        <w:t>-10</w:t>
      </w:r>
      <w:r w:rsidR="00F5147F" w:rsidRPr="005F36B9">
        <w:rPr>
          <w:rFonts w:eastAsia="MS Mincho"/>
          <w:spacing w:val="-4"/>
          <w:lang w:val="kk-KZ"/>
        </w:rPr>
        <w:t>%</w:t>
      </w:r>
      <w:r w:rsidRPr="005F36B9">
        <w:rPr>
          <w:rFonts w:eastAsia="MS Mincho"/>
          <w:spacing w:val="-4"/>
          <w:lang w:val="kk-KZ"/>
        </w:rPr>
        <w:t>) емге қарағанда едәуір жиі кездеседі. Жүрек функциясының мониторингілеумен қосымша проспективті зерттеуде симптоматикалық ІЖЖ жиілігі доцетакселмен монотерапия</w:t>
      </w:r>
      <w:r w:rsidR="00F5147F" w:rsidRPr="005F36B9">
        <w:rPr>
          <w:rFonts w:eastAsia="MS Mincho"/>
          <w:spacing w:val="-4"/>
          <w:lang w:val="kk-KZ"/>
        </w:rPr>
        <w:t xml:space="preserve"> алған пациенттердегі 0%-</w:t>
      </w:r>
      <w:r w:rsidRPr="005F36B9">
        <w:rPr>
          <w:rFonts w:eastAsia="MS Mincho"/>
          <w:spacing w:val="-4"/>
          <w:lang w:val="kk-KZ"/>
        </w:rPr>
        <w:t xml:space="preserve">бен салыстырғанда </w:t>
      </w:r>
      <w:r w:rsidR="00EF7DEC" w:rsidRPr="005F36B9">
        <w:rPr>
          <w:rFonts w:eastAsia="MS Mincho"/>
          <w:spacing w:val="-4"/>
          <w:lang w:val="kk-KZ"/>
        </w:rPr>
        <w:t>трастузумабты</w:t>
      </w:r>
      <w:r w:rsidRPr="005F36B9">
        <w:rPr>
          <w:rFonts w:eastAsia="MS Mincho"/>
          <w:spacing w:val="-4"/>
          <w:lang w:val="kk-KZ"/>
        </w:rPr>
        <w:t xml:space="preserve"> </w:t>
      </w:r>
      <w:r w:rsidR="00EF7DEC" w:rsidRPr="005F36B9">
        <w:rPr>
          <w:rFonts w:eastAsia="MS Mincho"/>
          <w:spacing w:val="-4"/>
          <w:lang w:val="kk-KZ"/>
        </w:rPr>
        <w:t>және</w:t>
      </w:r>
      <w:r w:rsidRPr="005F36B9">
        <w:rPr>
          <w:rFonts w:eastAsia="MS Mincho"/>
          <w:spacing w:val="-4"/>
          <w:lang w:val="kk-KZ"/>
        </w:rPr>
        <w:t xml:space="preserve"> доцетакселді қабылдаған </w:t>
      </w:r>
      <w:r w:rsidR="00F5147F" w:rsidRPr="005F36B9">
        <w:rPr>
          <w:rFonts w:eastAsia="MS Mincho"/>
          <w:spacing w:val="-4"/>
          <w:lang w:val="kk-KZ"/>
        </w:rPr>
        <w:t>пациенттерде 2.2%-</w:t>
      </w:r>
      <w:r w:rsidRPr="005F36B9">
        <w:rPr>
          <w:rFonts w:eastAsia="MS Mincho"/>
          <w:spacing w:val="-4"/>
          <w:lang w:val="kk-KZ"/>
        </w:rPr>
        <w:t>ды құрады. Осы зерттеулерде жүрек функциясының бұзылысы дамыған пациенттердің көпшілігінде (79%) ІЖЖ стандартты емін алғаннан кейін жай-күйінің жақсаруы байқалды.</w:t>
      </w:r>
    </w:p>
    <w:p w:rsidR="00697D19" w:rsidRPr="005F36B9" w:rsidRDefault="000118FC" w:rsidP="00697D19">
      <w:pPr>
        <w:rPr>
          <w:i/>
          <w:spacing w:val="-4"/>
          <w:u w:val="single"/>
          <w:lang w:val="kk-KZ"/>
        </w:rPr>
      </w:pPr>
      <w:r w:rsidRPr="005F36B9">
        <w:rPr>
          <w:i/>
          <w:spacing w:val="-4"/>
          <w:u w:val="single"/>
          <w:lang w:val="kk-KZ"/>
        </w:rPr>
        <w:t xml:space="preserve">Препаратты </w:t>
      </w:r>
      <w:r w:rsidR="005816BD" w:rsidRPr="005F36B9">
        <w:rPr>
          <w:i/>
          <w:spacing w:val="-4"/>
          <w:u w:val="single"/>
          <w:lang w:val="kk-KZ"/>
        </w:rPr>
        <w:t xml:space="preserve">қолдануға байланысты </w:t>
      </w:r>
      <w:r w:rsidR="00F860B9" w:rsidRPr="005F36B9">
        <w:rPr>
          <w:i/>
          <w:spacing w:val="-4"/>
          <w:u w:val="single"/>
          <w:lang w:val="kk-KZ"/>
        </w:rPr>
        <w:t>реакциялар/</w:t>
      </w:r>
      <w:r w:rsidRPr="005F36B9">
        <w:rPr>
          <w:i/>
          <w:spacing w:val="-4"/>
          <w:u w:val="single"/>
          <w:lang w:val="kk-KZ"/>
        </w:rPr>
        <w:t>аса жоғары сезімталдық</w:t>
      </w:r>
    </w:p>
    <w:p w:rsidR="00697D19" w:rsidRPr="005F36B9" w:rsidRDefault="00B25CFD" w:rsidP="00697D19">
      <w:pPr>
        <w:pStyle w:val="ac"/>
        <w:spacing w:before="0" w:beforeAutospacing="0" w:after="0" w:afterAutospacing="0"/>
        <w:jc w:val="both"/>
        <w:rPr>
          <w:spacing w:val="-4"/>
          <w:lang w:val="kk-KZ"/>
        </w:rPr>
      </w:pPr>
      <w:r w:rsidRPr="005F36B9">
        <w:rPr>
          <w:spacing w:val="-4"/>
          <w:lang w:val="kk-KZ"/>
        </w:rPr>
        <w:t xml:space="preserve">Трастузумабты </w:t>
      </w:r>
      <w:r w:rsidR="000118FC" w:rsidRPr="005F36B9">
        <w:rPr>
          <w:spacing w:val="-4"/>
          <w:lang w:val="kk-KZ"/>
        </w:rPr>
        <w:t>қолданылған клиникалық зерттеулерде қалтырау және/немесе қызба, ентіг</w:t>
      </w:r>
      <w:r w:rsidR="00EC775E" w:rsidRPr="005F36B9">
        <w:rPr>
          <w:spacing w:val="-4"/>
          <w:lang w:val="kk-KZ"/>
        </w:rPr>
        <w:t>у, артериялық гипотензия, бронх</w:t>
      </w:r>
      <w:r w:rsidR="000118FC" w:rsidRPr="005F36B9">
        <w:rPr>
          <w:spacing w:val="-4"/>
          <w:lang w:val="kk-KZ"/>
        </w:rPr>
        <w:t xml:space="preserve">обструкциялық синдром, бронх түйілуі, тахикардия, қанның оттегімен қанығуының төмендеуі, </w:t>
      </w:r>
      <w:r w:rsidR="003A4EC7" w:rsidRPr="005F36B9">
        <w:rPr>
          <w:spacing w:val="-4"/>
          <w:lang w:val="kk-KZ"/>
        </w:rPr>
        <w:t>тыныс алудың бұзылуы</w:t>
      </w:r>
      <w:r w:rsidR="000118FC" w:rsidRPr="005F36B9">
        <w:rPr>
          <w:spacing w:val="-4"/>
          <w:lang w:val="kk-KZ"/>
        </w:rPr>
        <w:t xml:space="preserve">, бөртпе, жүрек айнуы, құсу және бас ауыруы </w:t>
      </w:r>
      <w:r w:rsidR="008B721E" w:rsidRPr="005F36B9">
        <w:rPr>
          <w:spacing w:val="-4"/>
          <w:lang w:val="kk-KZ"/>
        </w:rPr>
        <w:t>секілді</w:t>
      </w:r>
      <w:r w:rsidR="000118FC" w:rsidRPr="005F36B9">
        <w:rPr>
          <w:spacing w:val="-4"/>
          <w:lang w:val="kk-KZ"/>
        </w:rPr>
        <w:t xml:space="preserve"> препаратты </w:t>
      </w:r>
      <w:r w:rsidR="005816BD" w:rsidRPr="005F36B9">
        <w:rPr>
          <w:spacing w:val="-4"/>
          <w:lang w:val="kk-KZ"/>
        </w:rPr>
        <w:t xml:space="preserve">қолдануға байланысты </w:t>
      </w:r>
      <w:r w:rsidR="000118FC" w:rsidRPr="005F36B9">
        <w:rPr>
          <w:spacing w:val="-4"/>
          <w:lang w:val="kk-KZ"/>
        </w:rPr>
        <w:t>реакциялар/аса жоғары сезімт</w:t>
      </w:r>
      <w:r w:rsidR="00F860B9" w:rsidRPr="005F36B9">
        <w:rPr>
          <w:spacing w:val="-4"/>
          <w:lang w:val="kk-KZ"/>
        </w:rPr>
        <w:t xml:space="preserve">алдық реакциялары байқалды (4.4 </w:t>
      </w:r>
      <w:r w:rsidR="000118FC" w:rsidRPr="005F36B9">
        <w:rPr>
          <w:spacing w:val="-4"/>
          <w:lang w:val="kk-KZ"/>
        </w:rPr>
        <w:t xml:space="preserve">бөлімді қараңыз). Әртүрлі зерттеулерде барлық дәрежедегі препаратты </w:t>
      </w:r>
      <w:r w:rsidR="005816BD" w:rsidRPr="005F36B9">
        <w:rPr>
          <w:spacing w:val="-4"/>
          <w:lang w:val="kk-KZ"/>
        </w:rPr>
        <w:t xml:space="preserve">қолдануға байланысты </w:t>
      </w:r>
      <w:r w:rsidR="000118FC" w:rsidRPr="005F36B9">
        <w:rPr>
          <w:spacing w:val="-4"/>
          <w:lang w:val="kk-KZ"/>
        </w:rPr>
        <w:t>реакциялардың жиілігі көрсетілімге, деректерді жинау әдіснамасына, сондай-ақ химиотерапиямен бірге немесе монотерапия ретінде қолдануға байланысты ауытқып отырды.</w:t>
      </w:r>
    </w:p>
    <w:p w:rsidR="00697D19" w:rsidRPr="005F36B9" w:rsidRDefault="000118FC" w:rsidP="00697D19">
      <w:pPr>
        <w:pStyle w:val="ac"/>
        <w:spacing w:before="0" w:beforeAutospacing="0" w:after="0" w:afterAutospacing="0"/>
        <w:jc w:val="both"/>
        <w:rPr>
          <w:spacing w:val="-4"/>
          <w:lang w:val="kk-KZ"/>
        </w:rPr>
      </w:pPr>
      <w:r w:rsidRPr="005F36B9">
        <w:rPr>
          <w:spacing w:val="-4"/>
          <w:lang w:val="kk-KZ"/>
        </w:rPr>
        <w:lastRenderedPageBreak/>
        <w:t>Жекелеген жағдайларда анафилаксиялық реакциялар байқалған.</w:t>
      </w:r>
    </w:p>
    <w:p w:rsidR="00697D19" w:rsidRPr="005F36B9" w:rsidRDefault="000118FC" w:rsidP="00697D19">
      <w:pPr>
        <w:pStyle w:val="ac"/>
        <w:spacing w:before="0" w:beforeAutospacing="0" w:after="0" w:afterAutospacing="0"/>
        <w:jc w:val="both"/>
        <w:rPr>
          <w:i/>
          <w:spacing w:val="-4"/>
          <w:u w:val="single"/>
          <w:lang w:val="kk-KZ"/>
        </w:rPr>
      </w:pPr>
      <w:r w:rsidRPr="005F36B9">
        <w:rPr>
          <w:i/>
          <w:spacing w:val="-4"/>
          <w:u w:val="single"/>
          <w:lang w:val="kk-KZ"/>
        </w:rPr>
        <w:t>Гематоуыттылығы</w:t>
      </w:r>
    </w:p>
    <w:p w:rsidR="00697D19" w:rsidRPr="005F36B9" w:rsidRDefault="000118FC" w:rsidP="00697D19">
      <w:pPr>
        <w:pStyle w:val="ac"/>
        <w:spacing w:before="0" w:beforeAutospacing="0" w:after="0" w:afterAutospacing="0"/>
        <w:jc w:val="both"/>
        <w:rPr>
          <w:spacing w:val="-4"/>
          <w:lang w:val="kk-KZ"/>
        </w:rPr>
      </w:pPr>
      <w:r w:rsidRPr="005F36B9">
        <w:rPr>
          <w:spacing w:val="-4"/>
          <w:lang w:val="kk-KZ"/>
        </w:rPr>
        <w:t>Фебрильді нейтропения, лейкопения, анемия, тромбоцитопения және нейтропения жиі дамыды. Гипопротромбинемияның даму жиілігі белгісіз. Трастузумабты антрациклин қатарындағы препараттармен емдегеннен кейін доцетакселмен біріктіріп қолданғанда нейтропения қаупі біршама жоғары болуы мүмкін.</w:t>
      </w:r>
    </w:p>
    <w:p w:rsidR="00697D19" w:rsidRPr="005F36B9" w:rsidRDefault="000118FC" w:rsidP="00697D19">
      <w:pPr>
        <w:pStyle w:val="ac"/>
        <w:spacing w:before="0" w:beforeAutospacing="0" w:after="0" w:afterAutospacing="0"/>
        <w:jc w:val="both"/>
        <w:rPr>
          <w:rFonts w:ascii="Arial" w:hAnsi="Arial" w:cs="Arial"/>
          <w:spacing w:val="-4"/>
          <w:lang w:val="kk-KZ"/>
        </w:rPr>
      </w:pPr>
      <w:r w:rsidRPr="005F36B9">
        <w:rPr>
          <w:i/>
          <w:spacing w:val="-4"/>
          <w:u w:val="single"/>
          <w:lang w:val="kk-KZ"/>
        </w:rPr>
        <w:t>Өкпе тарапынан бұзылулар</w:t>
      </w:r>
      <w:r w:rsidRPr="005F36B9">
        <w:rPr>
          <w:i/>
          <w:spacing w:val="-4"/>
          <w:u w:val="single"/>
          <w:lang w:val="kk-KZ"/>
        </w:rPr>
        <w:cr/>
      </w:r>
      <w:r w:rsidR="004B2CFB" w:rsidRPr="005F36B9">
        <w:rPr>
          <w:spacing w:val="-4"/>
          <w:lang w:val="kk-KZ"/>
        </w:rPr>
        <w:t xml:space="preserve">Трастузумабты </w:t>
      </w:r>
      <w:r w:rsidRPr="005F36B9">
        <w:rPr>
          <w:spacing w:val="-4"/>
          <w:lang w:val="kk-KZ"/>
        </w:rPr>
        <w:t>препаратын қолдану</w:t>
      </w:r>
      <w:r w:rsidR="008B721E" w:rsidRPr="005F36B9">
        <w:rPr>
          <w:spacing w:val="-4"/>
          <w:lang w:val="kk-KZ"/>
        </w:rPr>
        <w:t xml:space="preserve">ға </w:t>
      </w:r>
      <w:r w:rsidRPr="005F36B9">
        <w:rPr>
          <w:spacing w:val="-4"/>
          <w:lang w:val="kk-KZ"/>
        </w:rPr>
        <w:t xml:space="preserve">өкпе тарапынан ауыр жағымсыз реакциялардың дамуы, оның ішінде өліммен аяқталған жағдайлар </w:t>
      </w:r>
      <w:r w:rsidR="008B721E" w:rsidRPr="005F36B9">
        <w:rPr>
          <w:spacing w:val="-4"/>
          <w:lang w:val="kk-KZ"/>
        </w:rPr>
        <w:t>ассоциаланады</w:t>
      </w:r>
      <w:r w:rsidRPr="005F36B9">
        <w:rPr>
          <w:spacing w:val="-4"/>
          <w:lang w:val="kk-KZ"/>
        </w:rPr>
        <w:t xml:space="preserve">. Бұл реакциялар мыналарды қамтиды (бірақ олармен шектелмейді): өкпе инфильтраттары, жедел респираторлық дистресс-синдром, пневмония, пневмонит, плевральді жалқық, </w:t>
      </w:r>
      <w:r w:rsidR="003A4EC7" w:rsidRPr="005F36B9">
        <w:rPr>
          <w:spacing w:val="-4"/>
          <w:lang w:val="kk-KZ"/>
        </w:rPr>
        <w:t>тыныс алудың бұзылуы</w:t>
      </w:r>
      <w:r w:rsidRPr="005F36B9">
        <w:rPr>
          <w:spacing w:val="-4"/>
          <w:lang w:val="kk-KZ"/>
        </w:rPr>
        <w:t>, өкпенің жедел ісінуі және</w:t>
      </w:r>
      <w:r w:rsidR="003A4EC7" w:rsidRPr="005F36B9">
        <w:rPr>
          <w:spacing w:val="-4"/>
          <w:lang w:val="kk-KZ"/>
        </w:rPr>
        <w:t xml:space="preserve"> тыныс алу жеткіліксіздігі (4.4 </w:t>
      </w:r>
      <w:r w:rsidRPr="005F36B9">
        <w:rPr>
          <w:spacing w:val="-4"/>
          <w:lang w:val="kk-KZ"/>
        </w:rPr>
        <w:t>бөлімді қараңыз).</w:t>
      </w:r>
    </w:p>
    <w:p w:rsidR="00697D19" w:rsidRPr="005F36B9" w:rsidRDefault="000118FC" w:rsidP="00697D19">
      <w:pPr>
        <w:pStyle w:val="ac"/>
        <w:spacing w:before="0" w:beforeAutospacing="0" w:after="0" w:afterAutospacing="0"/>
        <w:jc w:val="both"/>
        <w:rPr>
          <w:spacing w:val="-4"/>
          <w:u w:val="single"/>
          <w:lang w:val="kk-KZ"/>
        </w:rPr>
      </w:pPr>
      <w:r w:rsidRPr="005F36B9">
        <w:rPr>
          <w:spacing w:val="-4"/>
          <w:u w:val="single"/>
          <w:lang w:val="kk-KZ"/>
        </w:rPr>
        <w:t>Тері астына енгізу кезіндегі жекелеген жағымсыз реакциялардың сипаттамасы</w:t>
      </w:r>
    </w:p>
    <w:p w:rsidR="00697D19" w:rsidRPr="005F36B9" w:rsidRDefault="000118FC" w:rsidP="00697D19">
      <w:pPr>
        <w:pStyle w:val="ac"/>
        <w:spacing w:before="0" w:beforeAutospacing="0" w:after="0" w:afterAutospacing="0"/>
        <w:rPr>
          <w:rFonts w:ascii="Arial" w:hAnsi="Arial" w:cs="Arial"/>
          <w:i/>
          <w:iCs/>
          <w:spacing w:val="-4"/>
          <w:u w:val="single"/>
          <w:lang w:val="kk-KZ"/>
        </w:rPr>
      </w:pPr>
      <w:r w:rsidRPr="005F36B9">
        <w:rPr>
          <w:i/>
          <w:spacing w:val="-4"/>
          <w:u w:val="single"/>
          <w:lang w:val="kk-KZ"/>
        </w:rPr>
        <w:t xml:space="preserve">Препаратты </w:t>
      </w:r>
      <w:r w:rsidR="005816BD" w:rsidRPr="005F36B9">
        <w:rPr>
          <w:i/>
          <w:spacing w:val="-4"/>
          <w:u w:val="single"/>
          <w:lang w:val="kk-KZ"/>
        </w:rPr>
        <w:t xml:space="preserve">қолдануға байланысты </w:t>
      </w:r>
      <w:r w:rsidRPr="005F36B9">
        <w:rPr>
          <w:i/>
          <w:spacing w:val="-4"/>
          <w:u w:val="single"/>
          <w:lang w:val="kk-KZ"/>
        </w:rPr>
        <w:t>реакциялар</w:t>
      </w:r>
    </w:p>
    <w:p w:rsidR="00697D19" w:rsidRPr="005F36B9" w:rsidRDefault="000118FC" w:rsidP="00697D19">
      <w:pPr>
        <w:pStyle w:val="ac"/>
        <w:spacing w:before="0" w:beforeAutospacing="0" w:after="0" w:afterAutospacing="0"/>
        <w:jc w:val="both"/>
        <w:rPr>
          <w:spacing w:val="-4"/>
          <w:lang w:val="kk-KZ"/>
        </w:rPr>
      </w:pPr>
      <w:r w:rsidRPr="005F36B9">
        <w:rPr>
          <w:spacing w:val="-4"/>
          <w:lang w:val="kk-KZ"/>
        </w:rPr>
        <w:t xml:space="preserve">Базалық зерттеуде вена ішіне және тері астына енгізуге арналған </w:t>
      </w:r>
      <w:r w:rsidR="00BF1259" w:rsidRPr="005F36B9">
        <w:rPr>
          <w:spacing w:val="-4"/>
          <w:lang w:val="kk-KZ"/>
        </w:rPr>
        <w:t xml:space="preserve">дәрілік түрдегі </w:t>
      </w:r>
      <w:r w:rsidR="004B2CFB" w:rsidRPr="005F36B9">
        <w:rPr>
          <w:spacing w:val="-4"/>
          <w:lang w:val="kk-KZ"/>
        </w:rPr>
        <w:t xml:space="preserve">трастузумабты </w:t>
      </w:r>
      <w:r w:rsidR="005816BD" w:rsidRPr="005F36B9">
        <w:rPr>
          <w:spacing w:val="-4"/>
          <w:lang w:val="kk-KZ"/>
        </w:rPr>
        <w:t xml:space="preserve">қолдануға байланысты </w:t>
      </w:r>
      <w:r w:rsidRPr="005F36B9">
        <w:rPr>
          <w:spacing w:val="-4"/>
          <w:lang w:val="kk-KZ"/>
        </w:rPr>
        <w:t>барлық дәрежедегі жағымсыз реакциялардың жиіл</w:t>
      </w:r>
      <w:r w:rsidR="00F860B9" w:rsidRPr="005F36B9">
        <w:rPr>
          <w:spacing w:val="-4"/>
          <w:lang w:val="kk-KZ"/>
        </w:rPr>
        <w:t>ігі 37.2% және тиісінше 47.8%-</w:t>
      </w:r>
      <w:r w:rsidRPr="005F36B9">
        <w:rPr>
          <w:spacing w:val="-4"/>
          <w:lang w:val="kk-KZ"/>
        </w:rPr>
        <w:t xml:space="preserve">ды құрады; 3 дәрежелі ауыр реакциялар емдеу фазасында пациенттердің 2.0%-ында және тиісінше 1.7%-ында тіркелді; 4 немесе 5 дәрежелі ауыр реакциялар байқалмады. Тері астына енгізуге арналған </w:t>
      </w:r>
      <w:r w:rsidR="00BF1259" w:rsidRPr="005F36B9">
        <w:rPr>
          <w:spacing w:val="-4"/>
          <w:lang w:val="kk-KZ"/>
        </w:rPr>
        <w:t xml:space="preserve">дәрілік түрдегі </w:t>
      </w:r>
      <w:r w:rsidR="004B2CFB" w:rsidRPr="005F36B9">
        <w:rPr>
          <w:spacing w:val="-4"/>
          <w:lang w:val="kk-KZ"/>
        </w:rPr>
        <w:t xml:space="preserve">трастузумабты </w:t>
      </w:r>
      <w:r w:rsidR="005816BD" w:rsidRPr="005F36B9">
        <w:rPr>
          <w:spacing w:val="-4"/>
          <w:lang w:val="kk-KZ"/>
        </w:rPr>
        <w:t xml:space="preserve">қолдануға байланысты </w:t>
      </w:r>
      <w:r w:rsidRPr="005F36B9">
        <w:rPr>
          <w:spacing w:val="-4"/>
          <w:lang w:val="kk-KZ"/>
        </w:rPr>
        <w:t>барлық ауыр реакциялар препаратты химиотерапиямен бірге қолданғанда дамыды. Дәрілік аса жоғары сезімталдық анағұрлым жиі ауыр реакция</w:t>
      </w:r>
      <w:r w:rsidR="008B721E" w:rsidRPr="005F36B9">
        <w:rPr>
          <w:spacing w:val="-4"/>
          <w:lang w:val="kk-KZ"/>
        </w:rPr>
        <w:t xml:space="preserve"> </w:t>
      </w:r>
      <w:r w:rsidRPr="005F36B9">
        <w:rPr>
          <w:spacing w:val="-4"/>
          <w:lang w:val="kk-KZ"/>
        </w:rPr>
        <w:t>болды.</w:t>
      </w:r>
    </w:p>
    <w:p w:rsidR="00697D19" w:rsidRPr="005F36B9" w:rsidRDefault="000118FC" w:rsidP="00697D19">
      <w:pPr>
        <w:pStyle w:val="ac"/>
        <w:spacing w:before="0" w:beforeAutospacing="0" w:after="0" w:afterAutospacing="0"/>
        <w:jc w:val="both"/>
        <w:rPr>
          <w:spacing w:val="-4"/>
          <w:lang w:val="kk-KZ"/>
        </w:rPr>
      </w:pPr>
      <w:r w:rsidRPr="005F36B9">
        <w:rPr>
          <w:spacing w:val="-4"/>
          <w:lang w:val="kk-KZ"/>
        </w:rPr>
        <w:t>Жүйелік реакцияларға аса жоғары сезімталдық, артериялық гипотензия, тахикардия, жөтел және ентігу кірді. Жергілікті реакцияларға эритема, қышыну, ісіну, бөртпе және инъекция орнының ауыруы кірді.</w:t>
      </w:r>
    </w:p>
    <w:p w:rsidR="00697D19" w:rsidRPr="005F36B9" w:rsidRDefault="000118FC" w:rsidP="00697D19">
      <w:pPr>
        <w:pStyle w:val="ac"/>
        <w:spacing w:before="0" w:beforeAutospacing="0" w:after="0" w:afterAutospacing="0"/>
        <w:rPr>
          <w:i/>
          <w:spacing w:val="-4"/>
          <w:u w:val="single"/>
          <w:lang w:val="kk-KZ"/>
        </w:rPr>
      </w:pPr>
      <w:r w:rsidRPr="005F36B9">
        <w:rPr>
          <w:i/>
          <w:spacing w:val="-4"/>
          <w:u w:val="single"/>
          <w:lang w:val="kk-KZ"/>
        </w:rPr>
        <w:t>Инфекциялар</w:t>
      </w:r>
    </w:p>
    <w:p w:rsidR="00697D19" w:rsidRPr="005F36B9" w:rsidRDefault="000118FC" w:rsidP="00697D19">
      <w:pPr>
        <w:pStyle w:val="ac"/>
        <w:spacing w:before="0" w:beforeAutospacing="0" w:after="0" w:afterAutospacing="0"/>
        <w:jc w:val="both"/>
        <w:rPr>
          <w:spacing w:val="-4"/>
          <w:lang w:val="kk-KZ"/>
        </w:rPr>
      </w:pPr>
      <w:r w:rsidRPr="005F36B9">
        <w:rPr>
          <w:spacing w:val="-4"/>
          <w:lang w:val="kk-KZ"/>
        </w:rPr>
        <w:t xml:space="preserve">Ауыр инфекциялардың жиілігі (NCI CTCAE сәйкес ≥3 дәрежелі) вена ішіне және тері астына енгізуге арналған </w:t>
      </w:r>
      <w:r w:rsidR="00BF1259" w:rsidRPr="005F36B9">
        <w:rPr>
          <w:spacing w:val="-4"/>
          <w:lang w:val="kk-KZ"/>
        </w:rPr>
        <w:t xml:space="preserve">дәрілік түрдегі </w:t>
      </w:r>
      <w:r w:rsidR="0050122F" w:rsidRPr="005F36B9">
        <w:rPr>
          <w:spacing w:val="-4"/>
          <w:lang w:val="kk-KZ"/>
        </w:rPr>
        <w:t>[САУДАЛЫҚ АТАУЫ]</w:t>
      </w:r>
      <w:r w:rsidRPr="005F36B9">
        <w:rPr>
          <w:spacing w:val="-4"/>
          <w:lang w:val="kk-KZ"/>
        </w:rPr>
        <w:t xml:space="preserve"> препаратын қабылдау топтар</w:t>
      </w:r>
      <w:r w:rsidR="00F860B9" w:rsidRPr="005F36B9">
        <w:rPr>
          <w:spacing w:val="-4"/>
          <w:lang w:val="kk-KZ"/>
        </w:rPr>
        <w:t xml:space="preserve">ында </w:t>
      </w:r>
      <w:r w:rsidR="0064797C" w:rsidRPr="005F36B9">
        <w:rPr>
          <w:spacing w:val="-4"/>
          <w:lang w:val="kk-KZ"/>
        </w:rPr>
        <w:t xml:space="preserve">тиісінше </w:t>
      </w:r>
      <w:r w:rsidR="00F860B9" w:rsidRPr="005F36B9">
        <w:rPr>
          <w:spacing w:val="-4"/>
          <w:lang w:val="kk-KZ"/>
        </w:rPr>
        <w:t>5%-ды және 7.1%-</w:t>
      </w:r>
      <w:r w:rsidRPr="005F36B9">
        <w:rPr>
          <w:spacing w:val="-4"/>
          <w:lang w:val="kk-KZ"/>
        </w:rPr>
        <w:t>ды құрады.</w:t>
      </w:r>
    </w:p>
    <w:p w:rsidR="00697D19" w:rsidRPr="005F36B9" w:rsidRDefault="000118FC" w:rsidP="00697D19">
      <w:pPr>
        <w:jc w:val="both"/>
        <w:rPr>
          <w:i/>
          <w:spacing w:val="-4"/>
          <w:lang w:val="kk-KZ"/>
        </w:rPr>
      </w:pPr>
      <w:r w:rsidRPr="005F36B9">
        <w:rPr>
          <w:spacing w:val="-4"/>
          <w:lang w:val="kk-KZ"/>
        </w:rPr>
        <w:t xml:space="preserve">Ауыр инфекциялардың жиілігі (олардың көпшілігі пациенттерді стационарға жатқызу немесе емдеуге жатқызу мерзімін ұзарту нәтижесінде анықталған) вена ішіне енгізуге арналған </w:t>
      </w:r>
      <w:r w:rsidR="00BF1259" w:rsidRPr="005F36B9">
        <w:rPr>
          <w:spacing w:val="-4"/>
          <w:lang w:val="kk-KZ"/>
        </w:rPr>
        <w:t xml:space="preserve">дәрілік түрдегі </w:t>
      </w:r>
      <w:r w:rsidRPr="005F36B9">
        <w:rPr>
          <w:spacing w:val="-4"/>
          <w:lang w:val="kk-KZ"/>
        </w:rPr>
        <w:t>пр</w:t>
      </w:r>
      <w:r w:rsidR="00F860B9" w:rsidRPr="005F36B9">
        <w:rPr>
          <w:spacing w:val="-4"/>
          <w:lang w:val="kk-KZ"/>
        </w:rPr>
        <w:t>епаратты қолдану кезінде 4.4%-</w:t>
      </w:r>
      <w:r w:rsidRPr="005F36B9">
        <w:rPr>
          <w:spacing w:val="-4"/>
          <w:lang w:val="kk-KZ"/>
        </w:rPr>
        <w:t xml:space="preserve">ды және тері астына енгізуге арналған </w:t>
      </w:r>
      <w:r w:rsidR="00BF1259" w:rsidRPr="005F36B9">
        <w:rPr>
          <w:spacing w:val="-4"/>
          <w:lang w:val="kk-KZ"/>
        </w:rPr>
        <w:t xml:space="preserve">дәрілік түрдегі </w:t>
      </w:r>
      <w:r w:rsidRPr="005F36B9">
        <w:rPr>
          <w:spacing w:val="-4"/>
          <w:lang w:val="kk-KZ"/>
        </w:rPr>
        <w:t>пр</w:t>
      </w:r>
      <w:r w:rsidR="00F860B9" w:rsidRPr="005F36B9">
        <w:rPr>
          <w:spacing w:val="-4"/>
          <w:lang w:val="kk-KZ"/>
        </w:rPr>
        <w:t>епаратты қолдану кезінде 8.1%-</w:t>
      </w:r>
      <w:r w:rsidRPr="005F36B9">
        <w:rPr>
          <w:spacing w:val="-4"/>
          <w:lang w:val="kk-KZ"/>
        </w:rPr>
        <w:t xml:space="preserve">ды құрады. Препараттың дәрілік түрлерінің арасындағы айырмашылық негізінен адъювантты ем (монотерапия) фазасында байқалды және негізінен операциядан кейінгі жара инфекцияларының дамуына, сондай-ақ тыныс алу жолдары инфекцияларының, жедел пиелонефрит пен сепсистің дамуына байланысты болды. Бұл құбылыстар вена ішіне енгізуге арналған </w:t>
      </w:r>
      <w:r w:rsidR="00BF1259" w:rsidRPr="005F36B9">
        <w:rPr>
          <w:spacing w:val="-4"/>
          <w:lang w:val="kk-KZ"/>
        </w:rPr>
        <w:t xml:space="preserve">дәрілік түрдегі </w:t>
      </w:r>
      <w:r w:rsidR="004B2CFB" w:rsidRPr="005F36B9">
        <w:rPr>
          <w:spacing w:val="-4"/>
          <w:lang w:val="kk-KZ"/>
        </w:rPr>
        <w:t xml:space="preserve">трастузумабты </w:t>
      </w:r>
      <w:r w:rsidRPr="005F36B9">
        <w:rPr>
          <w:spacing w:val="-4"/>
          <w:lang w:val="kk-KZ"/>
        </w:rPr>
        <w:t xml:space="preserve">қолдану кезінде орта есеппен 13 күн ішінде және тері астына енгізуге арналған </w:t>
      </w:r>
      <w:r w:rsidR="00BF1259" w:rsidRPr="005F36B9">
        <w:rPr>
          <w:spacing w:val="-4"/>
          <w:lang w:val="kk-KZ"/>
        </w:rPr>
        <w:t xml:space="preserve">дәрілік түрдегі </w:t>
      </w:r>
      <w:r w:rsidR="004B2CFB" w:rsidRPr="005F36B9">
        <w:rPr>
          <w:spacing w:val="-4"/>
          <w:lang w:val="kk-KZ"/>
        </w:rPr>
        <w:t xml:space="preserve">трастузумабты </w:t>
      </w:r>
      <w:r w:rsidRPr="005F36B9">
        <w:rPr>
          <w:spacing w:val="-4"/>
          <w:lang w:val="kk-KZ"/>
        </w:rPr>
        <w:t>қолдану кезінде орта есеппен 17 күн ішінде басылды.</w:t>
      </w:r>
    </w:p>
    <w:p w:rsidR="00697D19" w:rsidRPr="005F36B9" w:rsidRDefault="000118FC" w:rsidP="00697D19">
      <w:pPr>
        <w:jc w:val="both"/>
        <w:rPr>
          <w:i/>
          <w:spacing w:val="-4"/>
          <w:u w:val="single"/>
          <w:lang w:val="kk-KZ"/>
        </w:rPr>
      </w:pPr>
      <w:r w:rsidRPr="005F36B9">
        <w:rPr>
          <w:i/>
          <w:spacing w:val="-4"/>
          <w:u w:val="single"/>
          <w:lang w:val="kk-KZ"/>
        </w:rPr>
        <w:t>Артериялық гипертензия</w:t>
      </w:r>
    </w:p>
    <w:p w:rsidR="00697D19" w:rsidRPr="005F36B9" w:rsidRDefault="000118FC" w:rsidP="00697D19">
      <w:pPr>
        <w:jc w:val="both"/>
        <w:rPr>
          <w:spacing w:val="-4"/>
          <w:lang w:val="kk-KZ"/>
        </w:rPr>
      </w:pPr>
      <w:r w:rsidRPr="005F36B9">
        <w:rPr>
          <w:spacing w:val="-4"/>
          <w:lang w:val="kk-KZ"/>
        </w:rPr>
        <w:t xml:space="preserve">Базалық ВО22227 зерттеу нәтижелері бойынша барлық дәрежедегі артериялық гипертензия жиілігі тері астына енгізуге арналған </w:t>
      </w:r>
      <w:r w:rsidR="00BF1259" w:rsidRPr="005F36B9">
        <w:rPr>
          <w:spacing w:val="-4"/>
          <w:lang w:val="kk-KZ"/>
        </w:rPr>
        <w:t xml:space="preserve">дәрілік түрдегі </w:t>
      </w:r>
      <w:r w:rsidR="004B2CFB" w:rsidRPr="005F36B9">
        <w:rPr>
          <w:spacing w:val="-4"/>
          <w:lang w:val="kk-KZ"/>
        </w:rPr>
        <w:t>трастузумабты</w:t>
      </w:r>
      <w:r w:rsidRPr="005F36B9">
        <w:rPr>
          <w:spacing w:val="-4"/>
          <w:lang w:val="kk-KZ"/>
        </w:rPr>
        <w:t xml:space="preserve"> қолдану кезінде вена ішіне енгізуге арналған </w:t>
      </w:r>
      <w:r w:rsidR="00BF1259" w:rsidRPr="005F36B9">
        <w:rPr>
          <w:spacing w:val="-4"/>
          <w:lang w:val="kk-KZ"/>
        </w:rPr>
        <w:t xml:space="preserve">дәрілік түрдегі </w:t>
      </w:r>
      <w:r w:rsidR="004B2CFB" w:rsidRPr="005F36B9">
        <w:rPr>
          <w:spacing w:val="-4"/>
          <w:lang w:val="kk-KZ"/>
        </w:rPr>
        <w:t xml:space="preserve">трастузумабты </w:t>
      </w:r>
      <w:r w:rsidR="00F860B9" w:rsidRPr="005F36B9">
        <w:rPr>
          <w:spacing w:val="-4"/>
          <w:lang w:val="kk-KZ"/>
        </w:rPr>
        <w:t>(9.8%-</w:t>
      </w:r>
      <w:r w:rsidRPr="005F36B9">
        <w:rPr>
          <w:spacing w:val="-4"/>
          <w:lang w:val="kk-KZ"/>
        </w:rPr>
        <w:t xml:space="preserve">бен салыстырғанда сәйкесінше 4.7%) қолданумен салыстырғанда пациенттерде екі еседен астам жоғары болғаны байқалды, бұл ретте тері астына енгізуге арналған </w:t>
      </w:r>
      <w:r w:rsidR="00BF1259" w:rsidRPr="005F36B9">
        <w:rPr>
          <w:spacing w:val="-4"/>
          <w:lang w:val="kk-KZ"/>
        </w:rPr>
        <w:t xml:space="preserve">дәрілік түрдегі </w:t>
      </w:r>
      <w:r w:rsidR="004B2CFB" w:rsidRPr="005F36B9">
        <w:rPr>
          <w:spacing w:val="-4"/>
          <w:lang w:val="kk-KZ"/>
        </w:rPr>
        <w:t xml:space="preserve">трастузумабты </w:t>
      </w:r>
      <w:r w:rsidRPr="005F36B9">
        <w:rPr>
          <w:spacing w:val="-4"/>
          <w:lang w:val="kk-KZ"/>
        </w:rPr>
        <w:t xml:space="preserve">алған пациенттер арасында ауыр оқиғалардың үлесі (NCI СТСАЕ сәйкес ≥3 дәрежелі) вена ішіне енгізуге арналған </w:t>
      </w:r>
      <w:r w:rsidR="00BF1259" w:rsidRPr="005F36B9">
        <w:rPr>
          <w:spacing w:val="-4"/>
          <w:lang w:val="kk-KZ"/>
        </w:rPr>
        <w:t xml:space="preserve">дәрілік түрдегі </w:t>
      </w:r>
      <w:r w:rsidRPr="005F36B9">
        <w:rPr>
          <w:spacing w:val="-4"/>
          <w:lang w:val="kk-KZ"/>
        </w:rPr>
        <w:t>препаратты қабылд</w:t>
      </w:r>
      <w:r w:rsidR="00F860B9" w:rsidRPr="005F36B9">
        <w:rPr>
          <w:spacing w:val="-4"/>
          <w:lang w:val="kk-KZ"/>
        </w:rPr>
        <w:t>аған пациенттер тобындағы &lt;1%-</w:t>
      </w:r>
      <w:r w:rsidRPr="005F36B9">
        <w:rPr>
          <w:spacing w:val="-4"/>
          <w:lang w:val="kk-KZ"/>
        </w:rPr>
        <w:t>бен салыстырғанда жоғары (2.0%) болды.</w:t>
      </w:r>
    </w:p>
    <w:p w:rsidR="00697D19" w:rsidRPr="005F36B9" w:rsidRDefault="000118FC" w:rsidP="00697D19">
      <w:pPr>
        <w:jc w:val="both"/>
        <w:rPr>
          <w:i/>
          <w:spacing w:val="-4"/>
          <w:u w:val="single"/>
          <w:lang w:val="kk-KZ"/>
        </w:rPr>
      </w:pPr>
      <w:r w:rsidRPr="005F36B9">
        <w:rPr>
          <w:i/>
          <w:spacing w:val="-4"/>
          <w:u w:val="single"/>
          <w:lang w:val="kk-KZ"/>
        </w:rPr>
        <w:t>Иммуногендігі</w:t>
      </w:r>
    </w:p>
    <w:p w:rsidR="00697D19" w:rsidRPr="005F36B9" w:rsidRDefault="000118FC" w:rsidP="00697D19">
      <w:pPr>
        <w:jc w:val="both"/>
        <w:rPr>
          <w:spacing w:val="-4"/>
          <w:lang w:val="kk-KZ"/>
        </w:rPr>
      </w:pPr>
      <w:r w:rsidRPr="005F36B9">
        <w:rPr>
          <w:spacing w:val="-4"/>
          <w:lang w:val="kk-KZ"/>
        </w:rPr>
        <w:t xml:space="preserve">СБеО неоадъювантты және адъювантты емін кейінгі бақылау медианасы 70 айдан астам </w:t>
      </w:r>
      <w:r w:rsidRPr="005F36B9">
        <w:rPr>
          <w:spacing w:val="-4"/>
          <w:lang w:val="kk-KZ"/>
        </w:rPr>
        <w:lastRenderedPageBreak/>
        <w:t xml:space="preserve">болған зерттеуде (ВО22227) венаішіне енгізуге арналған дәрілік түрінде </w:t>
      </w:r>
      <w:r w:rsidR="004B2CFB" w:rsidRPr="005F36B9">
        <w:rPr>
          <w:spacing w:val="-4"/>
          <w:lang w:val="kk-KZ"/>
        </w:rPr>
        <w:t>трастузумабты</w:t>
      </w:r>
      <w:r w:rsidRPr="005F36B9">
        <w:rPr>
          <w:spacing w:val="-4"/>
          <w:lang w:val="kk-KZ"/>
        </w:rPr>
        <w:t xml:space="preserve"> қ</w:t>
      </w:r>
      <w:r w:rsidR="00EF0081" w:rsidRPr="005F36B9">
        <w:rPr>
          <w:spacing w:val="-4"/>
          <w:lang w:val="kk-KZ"/>
        </w:rPr>
        <w:t>абылдаған пациенттердің 10.1%-</w:t>
      </w:r>
      <w:r w:rsidRPr="005F36B9">
        <w:rPr>
          <w:spacing w:val="-4"/>
          <w:lang w:val="kk-KZ"/>
        </w:rPr>
        <w:t>ында (30/296) және</w:t>
      </w:r>
      <w:r w:rsidR="00550B1B" w:rsidRPr="005F36B9">
        <w:rPr>
          <w:spacing w:val="-4"/>
          <w:lang w:val="kk-KZ"/>
        </w:rPr>
        <w:t xml:space="preserve"> </w:t>
      </w:r>
      <w:r w:rsidRPr="005F36B9">
        <w:rPr>
          <w:spacing w:val="-4"/>
          <w:lang w:val="kk-KZ"/>
        </w:rPr>
        <w:t xml:space="preserve">тері астына енгізуге арналған </w:t>
      </w:r>
      <w:r w:rsidR="00BF1259" w:rsidRPr="005F36B9">
        <w:rPr>
          <w:spacing w:val="-4"/>
          <w:lang w:val="kk-KZ"/>
        </w:rPr>
        <w:t xml:space="preserve">дәрілік түрдегі </w:t>
      </w:r>
      <w:r w:rsidR="004B2CFB" w:rsidRPr="005F36B9">
        <w:rPr>
          <w:spacing w:val="-4"/>
          <w:lang w:val="kk-KZ"/>
        </w:rPr>
        <w:t>трастузумабты</w:t>
      </w:r>
      <w:r w:rsidRPr="005F36B9">
        <w:rPr>
          <w:spacing w:val="-4"/>
          <w:lang w:val="kk-KZ"/>
        </w:rPr>
        <w:t xml:space="preserve"> қ</w:t>
      </w:r>
      <w:r w:rsidR="00EF0081" w:rsidRPr="005F36B9">
        <w:rPr>
          <w:spacing w:val="-4"/>
          <w:lang w:val="kk-KZ"/>
        </w:rPr>
        <w:t>абылдаған пациенттердің 15.9%-</w:t>
      </w:r>
      <w:r w:rsidRPr="005F36B9">
        <w:rPr>
          <w:spacing w:val="-4"/>
          <w:lang w:val="kk-KZ"/>
        </w:rPr>
        <w:t xml:space="preserve">ында (47/295) трастузумабқа антиденелер түзілген. Бастапқы деңгеймен салыстырғанда трастузумабқа бейтараптандыратын антиденелер вена ішіне енгізуге арналған дәрілік түрінде </w:t>
      </w:r>
      <w:r w:rsidR="004B2CFB" w:rsidRPr="005F36B9">
        <w:rPr>
          <w:spacing w:val="-4"/>
          <w:lang w:val="kk-KZ"/>
        </w:rPr>
        <w:t xml:space="preserve">трастузумабты </w:t>
      </w:r>
      <w:r w:rsidRPr="005F36B9">
        <w:rPr>
          <w:spacing w:val="-4"/>
          <w:lang w:val="kk-KZ"/>
        </w:rPr>
        <w:t>қабылдаған 30 пациенттің 2-де және</w:t>
      </w:r>
      <w:r w:rsidR="001F0FCB" w:rsidRPr="005F36B9">
        <w:rPr>
          <w:spacing w:val="-4"/>
          <w:lang w:val="kk-KZ"/>
        </w:rPr>
        <w:t xml:space="preserve"> </w:t>
      </w:r>
      <w:r w:rsidRPr="005F36B9">
        <w:rPr>
          <w:spacing w:val="-4"/>
          <w:lang w:val="kk-KZ"/>
        </w:rPr>
        <w:t xml:space="preserve">тері астына енгізуге арналған дәрілік түрінде </w:t>
      </w:r>
      <w:r w:rsidR="00D611E2" w:rsidRPr="005F36B9">
        <w:rPr>
          <w:spacing w:val="-4"/>
          <w:lang w:val="kk-KZ"/>
        </w:rPr>
        <w:t xml:space="preserve">трастузумабты </w:t>
      </w:r>
      <w:r w:rsidRPr="005F36B9">
        <w:rPr>
          <w:spacing w:val="-4"/>
          <w:lang w:val="kk-KZ"/>
        </w:rPr>
        <w:t xml:space="preserve">қабылдаған 47 пациенттің 3-інде анықталды. Тері астына енгізуге арналған дәрілік түрінде </w:t>
      </w:r>
      <w:r w:rsidR="00D611E2" w:rsidRPr="005F36B9">
        <w:rPr>
          <w:spacing w:val="-4"/>
          <w:lang w:val="kk-KZ"/>
        </w:rPr>
        <w:t xml:space="preserve">трастузумабты </w:t>
      </w:r>
      <w:r w:rsidRPr="005F36B9">
        <w:rPr>
          <w:spacing w:val="-4"/>
          <w:lang w:val="kk-KZ"/>
        </w:rPr>
        <w:t>қ</w:t>
      </w:r>
      <w:r w:rsidR="00EF0081" w:rsidRPr="005F36B9">
        <w:rPr>
          <w:spacing w:val="-4"/>
          <w:lang w:val="kk-KZ"/>
        </w:rPr>
        <w:t>абылдаған пациенттердің 21.0%-</w:t>
      </w:r>
      <w:r w:rsidRPr="005F36B9">
        <w:rPr>
          <w:spacing w:val="-4"/>
          <w:lang w:val="kk-KZ"/>
        </w:rPr>
        <w:t>ында гиалуронидаза (rHuPH20) қосымша затына антиденелер өндірілді.</w:t>
      </w:r>
    </w:p>
    <w:p w:rsidR="00697D19" w:rsidRPr="005F36B9" w:rsidRDefault="000118FC" w:rsidP="00697D19">
      <w:pPr>
        <w:jc w:val="both"/>
        <w:rPr>
          <w:spacing w:val="-4"/>
          <w:lang w:val="kk-KZ"/>
        </w:rPr>
      </w:pPr>
      <w:r w:rsidRPr="005F36B9">
        <w:rPr>
          <w:spacing w:val="-4"/>
          <w:lang w:val="kk-KZ"/>
        </w:rPr>
        <w:t xml:space="preserve">Осы антиденелер түзілуінің клиникалық маңыздылығы анықталмаған. Трастузумабқа антиденелердің бар болуы вена ішіне және тері астына енгізуге арналған дәрілік түрінде </w:t>
      </w:r>
      <w:r w:rsidR="00D611E2" w:rsidRPr="005F36B9">
        <w:rPr>
          <w:spacing w:val="-4"/>
          <w:lang w:val="kk-KZ"/>
        </w:rPr>
        <w:t xml:space="preserve">трастузумабты </w:t>
      </w:r>
      <w:r w:rsidR="005816BD" w:rsidRPr="005F36B9">
        <w:rPr>
          <w:spacing w:val="-4"/>
          <w:lang w:val="kk-KZ"/>
        </w:rPr>
        <w:t xml:space="preserve">қолдануға байланысты </w:t>
      </w:r>
      <w:r w:rsidRPr="005F36B9">
        <w:rPr>
          <w:spacing w:val="-4"/>
          <w:lang w:val="kk-KZ"/>
        </w:rPr>
        <w:t>реакциялар жиілігі бойынша айқындалатын фармакокинетикаға, тиімділік (толық патоморфологиялық жауаптың жиілігі [pCR] мен оқиғасыз өміршеңдік [EFS] бойынша анықталатын) пен қауіпсіздікке теріс әсер етпейді.</w:t>
      </w:r>
    </w:p>
    <w:p w:rsidR="00697D19" w:rsidRPr="005F36B9" w:rsidRDefault="0050122F" w:rsidP="00697D19">
      <w:pPr>
        <w:jc w:val="both"/>
        <w:rPr>
          <w:spacing w:val="-4"/>
          <w:lang w:val="kk-KZ"/>
        </w:rPr>
      </w:pPr>
      <w:r w:rsidRPr="005F36B9">
        <w:rPr>
          <w:spacing w:val="-4"/>
          <w:u w:val="single"/>
          <w:lang w:val="kk-KZ"/>
        </w:rPr>
        <w:t>[САУДАЛЫҚ АТАУЫ]</w:t>
      </w:r>
      <w:r w:rsidR="000118FC" w:rsidRPr="005F36B9">
        <w:rPr>
          <w:spacing w:val="-4"/>
          <w:u w:val="single"/>
          <w:lang w:val="kk-KZ"/>
        </w:rPr>
        <w:t xml:space="preserve"> препаратының вена ішіне енгізуге арналған дәрілік түрінен тері астына енгізуге арналған дәрілік түріне ауысу (екі бағытта да)</w:t>
      </w:r>
    </w:p>
    <w:p w:rsidR="00697D19" w:rsidRPr="005F36B9" w:rsidRDefault="00D611E2" w:rsidP="00697D19">
      <w:pPr>
        <w:jc w:val="both"/>
        <w:rPr>
          <w:spacing w:val="-4"/>
          <w:lang w:val="kk-KZ"/>
        </w:rPr>
      </w:pPr>
      <w:r w:rsidRPr="005F36B9">
        <w:rPr>
          <w:spacing w:val="-4"/>
          <w:lang w:val="kk-KZ"/>
        </w:rPr>
        <w:t xml:space="preserve">Трастузумабты </w:t>
      </w:r>
      <w:r w:rsidR="000118FC" w:rsidRPr="005F36B9">
        <w:rPr>
          <w:spacing w:val="-4"/>
          <w:lang w:val="kk-KZ"/>
        </w:rPr>
        <w:t xml:space="preserve">вена ішіне енгізуге арналған дәрілік түрінен тері астына енгізуге арналған дәрілік түріне ауысуды (екі бағытта да) зерттеу бойынша МО22982 зерттеуінің бастапқы мақсаты </w:t>
      </w:r>
      <w:r w:rsidR="00550B1B" w:rsidRPr="005F36B9">
        <w:rPr>
          <w:spacing w:val="-4"/>
          <w:lang w:val="kk-KZ"/>
        </w:rPr>
        <w:t xml:space="preserve">- </w:t>
      </w:r>
      <w:r w:rsidR="000118FC" w:rsidRPr="005F36B9">
        <w:rPr>
          <w:spacing w:val="-4"/>
          <w:lang w:val="kk-KZ"/>
        </w:rPr>
        <w:t>пациенттің көзқарасы бойынша трастузумабты вена ішіне немесе тері астына енгізу әдісінің артықшылықтарын бағалау болып табыла</w:t>
      </w:r>
      <w:r w:rsidR="00550B1B" w:rsidRPr="005F36B9">
        <w:rPr>
          <w:spacing w:val="-4"/>
          <w:lang w:val="kk-KZ"/>
        </w:rPr>
        <w:t>ды</w:t>
      </w:r>
      <w:r w:rsidR="000118FC" w:rsidRPr="005F36B9">
        <w:rPr>
          <w:spacing w:val="-4"/>
          <w:lang w:val="kk-KZ"/>
        </w:rPr>
        <w:t>. Осы зерттеуде 2 когорта (</w:t>
      </w:r>
      <w:r w:rsidRPr="005F36B9">
        <w:rPr>
          <w:spacing w:val="-4"/>
          <w:lang w:val="kk-KZ"/>
        </w:rPr>
        <w:t xml:space="preserve">трастузумабты </w:t>
      </w:r>
      <w:r w:rsidR="000118FC" w:rsidRPr="005F36B9">
        <w:rPr>
          <w:spacing w:val="-4"/>
          <w:lang w:val="kk-KZ"/>
        </w:rPr>
        <w:t xml:space="preserve">тері астына[т/а] енгізуге арналған дәрілік түрін алған пациенттердің бір когортасы және екіншісі - вена ішіне [в/і] енгізуге арналған) үш апта ішінде </w:t>
      </w:r>
      <w:r w:rsidRPr="005F36B9">
        <w:rPr>
          <w:spacing w:val="-4"/>
          <w:lang w:val="kk-KZ"/>
        </w:rPr>
        <w:t>трастузумабты</w:t>
      </w:r>
      <w:r w:rsidR="000118FC" w:rsidRPr="005F36B9">
        <w:rPr>
          <w:spacing w:val="-4"/>
          <w:lang w:val="kk-KZ"/>
        </w:rPr>
        <w:t xml:space="preserve"> екі түрлі емдеу схемасының бірін қолдану үшін рандомизацияланған 488 пациенттің қатысуымен салыстырмалы айқас дизайнды пайдалана отырып, бағаланды (в/і [1-4 циклдар] → т/а [5-8 циклдар] немесе т/а [1- 4 циклдар] → в/і [5-8 циклдар]). Пациенттер вена ішіне енгізуге арналған </w:t>
      </w:r>
      <w:r w:rsidR="00BF1259" w:rsidRPr="005F36B9">
        <w:rPr>
          <w:spacing w:val="-4"/>
          <w:lang w:val="kk-KZ"/>
        </w:rPr>
        <w:t xml:space="preserve">дәрілік түрдегі </w:t>
      </w:r>
      <w:r w:rsidRPr="005F36B9">
        <w:rPr>
          <w:spacing w:val="-4"/>
          <w:lang w:val="kk-KZ"/>
        </w:rPr>
        <w:t>трастузумабпен</w:t>
      </w:r>
      <w:r w:rsidR="000118FC" w:rsidRPr="005F36B9">
        <w:rPr>
          <w:spacing w:val="-4"/>
          <w:lang w:val="kk-KZ"/>
        </w:rPr>
        <w:t xml:space="preserve"> бұрын ем алмаған (20.3%) немесе ем алған (79.7%). В/і→ т/а схемасы үшін (екі когорта үшін, яғни құтының ішінде инъекцияға арналған ерітінді түрінде және автоматты енгізуге арналған жүйе түрінде т/а трастузумаб) ауысқанға дейін (1-4 циклдар) және ауысқаннан кейін (5-8 циклдар) жағымсыз құбылыстардың жиілігі (барлық дәрежел</w:t>
      </w:r>
      <w:r w:rsidR="00EF0081" w:rsidRPr="005F36B9">
        <w:rPr>
          <w:spacing w:val="-4"/>
          <w:lang w:val="kk-KZ"/>
        </w:rPr>
        <w:t xml:space="preserve">ер) </w:t>
      </w:r>
      <w:r w:rsidR="00D95CB6" w:rsidRPr="005F36B9">
        <w:rPr>
          <w:spacing w:val="-4"/>
          <w:lang w:val="kk-KZ"/>
        </w:rPr>
        <w:t>тиісінше</w:t>
      </w:r>
      <w:r w:rsidR="00D95CB6" w:rsidRPr="005F36B9">
        <w:rPr>
          <w:spacing w:val="-4"/>
          <w:lang w:val="kk-KZ"/>
        </w:rPr>
        <w:t xml:space="preserve"> </w:t>
      </w:r>
      <w:r w:rsidR="00EF0081" w:rsidRPr="005F36B9">
        <w:rPr>
          <w:spacing w:val="-4"/>
          <w:lang w:val="kk-KZ"/>
        </w:rPr>
        <w:t>53.8% және 56.4%-</w:t>
      </w:r>
      <w:r w:rsidR="000118FC" w:rsidRPr="005F36B9">
        <w:rPr>
          <w:spacing w:val="-4"/>
          <w:lang w:val="kk-KZ"/>
        </w:rPr>
        <w:t>ды құрады; т/а → в/і схемасы үшін (екі когорта үшін), ауысқанға дейін және ауысқаннан кейін жағымсыз құбылыстардың жиілігі (барлық дәрежел</w:t>
      </w:r>
      <w:r w:rsidR="00EF0081" w:rsidRPr="005F36B9">
        <w:rPr>
          <w:spacing w:val="-4"/>
          <w:lang w:val="kk-KZ"/>
        </w:rPr>
        <w:t xml:space="preserve">ер) </w:t>
      </w:r>
      <w:r w:rsidR="00D95CB6" w:rsidRPr="005F36B9">
        <w:rPr>
          <w:spacing w:val="-4"/>
          <w:lang w:val="kk-KZ"/>
        </w:rPr>
        <w:t>тиісінше</w:t>
      </w:r>
      <w:r w:rsidR="00D95CB6" w:rsidRPr="005F36B9">
        <w:rPr>
          <w:spacing w:val="-4"/>
          <w:lang w:val="kk-KZ"/>
        </w:rPr>
        <w:t xml:space="preserve"> </w:t>
      </w:r>
      <w:r w:rsidR="00EF0081" w:rsidRPr="005F36B9">
        <w:rPr>
          <w:spacing w:val="-4"/>
          <w:lang w:val="kk-KZ"/>
        </w:rPr>
        <w:t>65.4% және 48.7%-</w:t>
      </w:r>
      <w:r w:rsidR="000118FC" w:rsidRPr="005F36B9">
        <w:rPr>
          <w:spacing w:val="-4"/>
          <w:lang w:val="kk-KZ"/>
        </w:rPr>
        <w:t>ды құрады. Ауыр жағымсыз құбылыстардың, ауырлық дәрежесінің 3 жағымсыз құбылыстарының және (1-4 циклдар) басқа дәрілік түрге ауысқанға дейін (&lt;5%) жағымсыз құбылыстардың дамуына байланысты емдеуді тоқтату жағдайларының жиілігі төмен болды және (5-8 циклдар) басқа дәрілік түрге ауысқаннан соң осыған сәйкес келді. 4 немесе 5 ауырлық дәрежелі жағымсыз құбылыстары туралы хабарланған жоқ.</w:t>
      </w:r>
    </w:p>
    <w:p w:rsidR="00543FB2" w:rsidRPr="005F36B9" w:rsidRDefault="00543FB2" w:rsidP="00543FB2">
      <w:pPr>
        <w:jc w:val="both"/>
        <w:rPr>
          <w:spacing w:val="-4"/>
          <w:u w:val="single"/>
          <w:lang w:val="kk-KZ"/>
        </w:rPr>
      </w:pPr>
    </w:p>
    <w:p w:rsidR="00707D8A" w:rsidRPr="005F36B9" w:rsidRDefault="000118FC" w:rsidP="00B81EFD">
      <w:pPr>
        <w:jc w:val="both"/>
        <w:rPr>
          <w:b/>
          <w:spacing w:val="-4"/>
          <w:lang w:val="kk-KZ"/>
        </w:rPr>
      </w:pPr>
      <w:r w:rsidRPr="005F36B9">
        <w:rPr>
          <w:b/>
          <w:spacing w:val="-4"/>
          <w:lang w:val="kk-KZ"/>
        </w:rPr>
        <w:t>Күдікті жағымсыз реакциялар туралы хабарлама</w:t>
      </w:r>
    </w:p>
    <w:p w:rsidR="0039419E" w:rsidRPr="005F36B9" w:rsidRDefault="00EF0081" w:rsidP="002E0293">
      <w:pPr>
        <w:keepNext/>
        <w:jc w:val="both"/>
        <w:rPr>
          <w:spacing w:val="-4"/>
          <w:lang w:val="kk-KZ"/>
        </w:rPr>
      </w:pPr>
      <w:r w:rsidRPr="005F36B9">
        <w:rPr>
          <w:spacing w:val="-4"/>
          <w:lang w:val="kk-KZ"/>
        </w:rPr>
        <w:t>ДП «пайда-қауіп»</w:t>
      </w:r>
      <w:r w:rsidR="000118FC" w:rsidRPr="005F36B9">
        <w:rPr>
          <w:spacing w:val="-4"/>
          <w:lang w:val="kk-KZ"/>
        </w:rPr>
        <w:t xml:space="preserve"> арақатынасының үздіксіз мониторингін қамтамасыз ету мақсатында ДП тіркелгеннен кейін күдікті жағымсыз реакциялар туралы хабарлау маңызды. Медицина қызметкерлеріне ҚР жағымсыз реакциялары туралы ұлттық хабарлау жүйесі арқылы ДП-ның кез келген күдікті жағымсыз реакциялары туралы хабарлау ұсынылады. </w:t>
      </w:r>
    </w:p>
    <w:p w:rsidR="00667C52" w:rsidRPr="005F36B9" w:rsidRDefault="000118FC" w:rsidP="00667C52">
      <w:pPr>
        <w:keepNext/>
        <w:jc w:val="both"/>
        <w:rPr>
          <w:spacing w:val="-4"/>
          <w:lang w:val="kk-KZ"/>
        </w:rPr>
      </w:pPr>
      <w:r w:rsidRPr="005F36B9">
        <w:rPr>
          <w:spacing w:val="-4"/>
          <w:lang w:val="kk-KZ"/>
        </w:rPr>
        <w:t>Қазақстан Республикасы Денсаулық сақтау министрлігі Медициналық және фа</w:t>
      </w:r>
      <w:r w:rsidR="00F217EB" w:rsidRPr="005F36B9">
        <w:rPr>
          <w:spacing w:val="-4"/>
          <w:lang w:val="kk-KZ"/>
        </w:rPr>
        <w:t>рмацевтикалық бақылау комитеті «</w:t>
      </w:r>
      <w:r w:rsidRPr="005F36B9">
        <w:rPr>
          <w:spacing w:val="-4"/>
          <w:lang w:val="kk-KZ"/>
        </w:rPr>
        <w:t>Дәрілік заттар мен медициналық бұйы</w:t>
      </w:r>
      <w:r w:rsidR="00F217EB" w:rsidRPr="005F36B9">
        <w:rPr>
          <w:spacing w:val="-4"/>
          <w:lang w:val="kk-KZ"/>
        </w:rPr>
        <w:t>мдарды сараптау ұлттық орталығы»</w:t>
      </w:r>
      <w:r w:rsidRPr="005F36B9">
        <w:rPr>
          <w:spacing w:val="-4"/>
          <w:lang w:val="kk-KZ"/>
        </w:rPr>
        <w:t xml:space="preserve"> ШЖҚ РМК</w:t>
      </w:r>
    </w:p>
    <w:p w:rsidR="00A558A6" w:rsidRPr="005F36B9" w:rsidRDefault="00595D8B" w:rsidP="00667C52">
      <w:pPr>
        <w:jc w:val="both"/>
        <w:rPr>
          <w:spacing w:val="-4"/>
          <w:lang w:val="ru-RU"/>
        </w:rPr>
      </w:pPr>
      <w:hyperlink r:id="rId9" w:history="1">
        <w:r w:rsidR="00667C52" w:rsidRPr="005F36B9">
          <w:rPr>
            <w:spacing w:val="-4"/>
            <w:lang w:val="kk-KZ"/>
          </w:rPr>
          <w:t>http://www.ndda.kz</w:t>
        </w:r>
      </w:hyperlink>
    </w:p>
    <w:p w:rsidR="00667C52" w:rsidRPr="005F36B9" w:rsidRDefault="00667C52" w:rsidP="00667C52">
      <w:pPr>
        <w:jc w:val="both"/>
        <w:rPr>
          <w:spacing w:val="-4"/>
          <w:lang w:val="ru-RU"/>
        </w:rPr>
      </w:pPr>
    </w:p>
    <w:p w:rsidR="00707D8A" w:rsidRPr="005F36B9" w:rsidRDefault="000118FC" w:rsidP="00B81EFD">
      <w:pPr>
        <w:jc w:val="both"/>
        <w:rPr>
          <w:b/>
          <w:spacing w:val="-4"/>
          <w:lang w:val="ru-RU"/>
        </w:rPr>
      </w:pPr>
      <w:r w:rsidRPr="005F36B9">
        <w:rPr>
          <w:b/>
          <w:spacing w:val="-4"/>
          <w:lang w:val="kk-KZ"/>
        </w:rPr>
        <w:t>4.9 Артық дозалануы</w:t>
      </w:r>
    </w:p>
    <w:p w:rsidR="00697D19" w:rsidRPr="005F36B9" w:rsidRDefault="000118FC" w:rsidP="00697D19">
      <w:pPr>
        <w:ind w:right="-20"/>
        <w:jc w:val="both"/>
        <w:rPr>
          <w:spacing w:val="-4"/>
          <w:lang w:val="ru-RU" w:eastAsia="ja-JP"/>
        </w:rPr>
      </w:pPr>
      <w:bookmarkStart w:id="16" w:name="_Hlk63892520"/>
      <w:r w:rsidRPr="005F36B9">
        <w:rPr>
          <w:spacing w:val="-4"/>
          <w:lang w:val="kk-KZ" w:eastAsia="ja-JP"/>
        </w:rPr>
        <w:t xml:space="preserve">Тері астына енгізуге арналған </w:t>
      </w:r>
      <w:r w:rsidR="00BF1259" w:rsidRPr="005F36B9">
        <w:rPr>
          <w:spacing w:val="-4"/>
          <w:lang w:val="kk-KZ" w:eastAsia="ja-JP"/>
        </w:rPr>
        <w:t xml:space="preserve">дәрілік түрдегі </w:t>
      </w:r>
      <w:r w:rsidR="00D611E2" w:rsidRPr="005F36B9">
        <w:rPr>
          <w:spacing w:val="-4"/>
          <w:lang w:val="kk-KZ" w:eastAsia="ja-JP"/>
        </w:rPr>
        <w:t>трастузумабт</w:t>
      </w:r>
      <w:r w:rsidRPr="005F36B9">
        <w:rPr>
          <w:spacing w:val="-4"/>
          <w:lang w:val="kk-KZ" w:eastAsia="ja-JP"/>
        </w:rPr>
        <w:t>ың 960 мг-ға дейінгі бір реттік дозаларын енгізу жағымсыз әсерлердің дамуына әкелмеді.</w:t>
      </w:r>
    </w:p>
    <w:bookmarkEnd w:id="16"/>
    <w:p w:rsidR="00DA6011" w:rsidRPr="005F36B9" w:rsidRDefault="00DA6011" w:rsidP="00DA6011">
      <w:pPr>
        <w:jc w:val="both"/>
        <w:rPr>
          <w:spacing w:val="-4"/>
          <w:lang w:val="ru-RU"/>
        </w:rPr>
      </w:pPr>
    </w:p>
    <w:p w:rsidR="00707D8A" w:rsidRPr="005F36B9" w:rsidRDefault="000118FC" w:rsidP="00DA6011">
      <w:pPr>
        <w:jc w:val="both"/>
        <w:rPr>
          <w:b/>
          <w:spacing w:val="-4"/>
          <w:lang w:val="ru-RU"/>
        </w:rPr>
      </w:pPr>
      <w:r w:rsidRPr="005F36B9">
        <w:rPr>
          <w:b/>
          <w:spacing w:val="-4"/>
          <w:lang w:val="kk-KZ"/>
        </w:rPr>
        <w:lastRenderedPageBreak/>
        <w:t>5. ФАРМАКОЛОГИЯЛЫҚ ҚАСИЕТТЕРІ</w:t>
      </w:r>
    </w:p>
    <w:p w:rsidR="00707D8A" w:rsidRPr="005F36B9" w:rsidRDefault="000118FC" w:rsidP="00C54DF9">
      <w:pPr>
        <w:spacing w:line="241" w:lineRule="auto"/>
        <w:jc w:val="both"/>
        <w:rPr>
          <w:b/>
          <w:spacing w:val="-4"/>
          <w:lang w:val="ru-RU"/>
        </w:rPr>
      </w:pPr>
      <w:r w:rsidRPr="005F36B9">
        <w:rPr>
          <w:b/>
          <w:spacing w:val="-4"/>
          <w:lang w:val="kk-KZ"/>
        </w:rPr>
        <w:t>5.1 Фармакодинамикалық қасиеттері</w:t>
      </w:r>
    </w:p>
    <w:p w:rsidR="00C033C1" w:rsidRPr="005F36B9" w:rsidRDefault="000118FC" w:rsidP="00C033C1">
      <w:pPr>
        <w:ind w:right="-20"/>
        <w:jc w:val="both"/>
        <w:rPr>
          <w:spacing w:val="-4"/>
          <w:lang w:val="kk-KZ"/>
        </w:rPr>
      </w:pPr>
      <w:r w:rsidRPr="005F36B9">
        <w:rPr>
          <w:spacing w:val="-4"/>
          <w:lang w:val="kk-KZ"/>
        </w:rPr>
        <w:t xml:space="preserve">Фармакотерапиялық тобы: Антинеопластикалық препараттар. </w:t>
      </w:r>
      <w:r w:rsidR="00C033C1" w:rsidRPr="005F36B9">
        <w:rPr>
          <w:spacing w:val="-4"/>
          <w:lang w:val="kk-KZ"/>
        </w:rPr>
        <w:t xml:space="preserve">Моноклональді антиденелер және антиденелер конъюгаттары. HER2 (адамның эпидермалдық өсу факторының 2 типті рецепторы) тежегіштері. Трастузумаб. </w:t>
      </w:r>
    </w:p>
    <w:p w:rsidR="0073324E" w:rsidRPr="005F36B9" w:rsidRDefault="00C033C1" w:rsidP="00C033C1">
      <w:pPr>
        <w:ind w:right="-20"/>
        <w:jc w:val="both"/>
        <w:rPr>
          <w:spacing w:val="-4"/>
          <w:lang w:val="kk-KZ"/>
        </w:rPr>
      </w:pPr>
      <w:r w:rsidRPr="005F36B9">
        <w:rPr>
          <w:spacing w:val="-4"/>
          <w:lang w:val="kk-KZ"/>
        </w:rPr>
        <w:t>АТХ коды L01FD01</w:t>
      </w:r>
    </w:p>
    <w:p w:rsidR="00C033C1" w:rsidRPr="005F36B9" w:rsidRDefault="00C033C1" w:rsidP="00C033C1">
      <w:pPr>
        <w:ind w:right="-20"/>
        <w:jc w:val="both"/>
        <w:rPr>
          <w:i/>
          <w:iCs/>
          <w:spacing w:val="-4"/>
          <w:lang w:val="kk-KZ" w:eastAsia="ru-RU"/>
        </w:rPr>
      </w:pPr>
    </w:p>
    <w:p w:rsidR="00697D19" w:rsidRPr="005F36B9" w:rsidRDefault="000118FC" w:rsidP="00697D19">
      <w:pPr>
        <w:ind w:right="-20"/>
        <w:jc w:val="both"/>
        <w:rPr>
          <w:spacing w:val="-4"/>
          <w:lang w:val="kk-KZ" w:eastAsia="ja-JP"/>
        </w:rPr>
      </w:pPr>
      <w:r w:rsidRPr="005F36B9">
        <w:rPr>
          <w:spacing w:val="-4"/>
          <w:lang w:val="kk-KZ" w:eastAsia="ja-JP"/>
        </w:rPr>
        <w:t xml:space="preserve">Тері астына енгізуге арналған </w:t>
      </w:r>
      <w:r w:rsidR="00BF1259" w:rsidRPr="005F36B9">
        <w:rPr>
          <w:spacing w:val="-4"/>
          <w:lang w:val="kk-KZ" w:eastAsia="ja-JP"/>
        </w:rPr>
        <w:t xml:space="preserve">дәрілік түрдегі </w:t>
      </w:r>
      <w:r w:rsidR="0050122F" w:rsidRPr="005F36B9">
        <w:rPr>
          <w:spacing w:val="-4"/>
          <w:lang w:val="kk-KZ" w:eastAsia="ja-JP"/>
        </w:rPr>
        <w:t>[САУДАЛЫҚ АТАУЫ]</w:t>
      </w:r>
      <w:r w:rsidRPr="005F36B9">
        <w:rPr>
          <w:spacing w:val="-4"/>
          <w:lang w:val="kk-KZ" w:eastAsia="ja-JP"/>
        </w:rPr>
        <w:t xml:space="preserve"> препаратының құрамында рекомбинантты адам гиалуронидазасы (rHuPH20), тері астына енгізілетін бірлесіп тағайындалатын препараттардың дисперсиясын және сіңірілуін арттыру үшін пайдаланылатын фермент бар.</w:t>
      </w:r>
    </w:p>
    <w:p w:rsidR="0050122F" w:rsidRPr="005F36B9" w:rsidRDefault="0050122F" w:rsidP="0050122F">
      <w:pPr>
        <w:ind w:right="-20"/>
        <w:jc w:val="both"/>
        <w:rPr>
          <w:spacing w:val="-4"/>
          <w:lang w:val="kk-KZ" w:eastAsia="ja-JP"/>
        </w:rPr>
      </w:pPr>
      <w:r w:rsidRPr="005F36B9">
        <w:rPr>
          <w:spacing w:val="-4"/>
          <w:lang w:val="kk-KZ" w:eastAsia="ja-JP"/>
        </w:rPr>
        <w:t>Трастузумаб - адамның эпидермальді өсу факторының 2 типті (HER2) рецепторларына қарсы әрекет ететін IgG1 қосалқы класының рекомбинантты гуманизацияланған моноклональді антидене болып табылады. HER2 гиперэкспрессиясы бастапқы сүт безі обырының тінінде 20-30% жағдайда кездеседі. Зерттеулер көрсеткендей, HER2 гиперэкспрессиясы бар сүт безінің обырына шалдыққан пациенттерге HER2 гиперэкспрессиясы жоқ пациенттермен салыстырғанда ауру белгілері жоқ өміршеңдік деңгейінің төмендеуі тән. Рецептордың жасушадан тыс домені (ЕСD, p105) қанға еніп, қан сарысуының үлгілерінде анықталуы мүмкін.</w:t>
      </w:r>
    </w:p>
    <w:p w:rsidR="0050122F" w:rsidRPr="005F36B9" w:rsidRDefault="0050122F" w:rsidP="0050122F">
      <w:pPr>
        <w:ind w:right="-20"/>
        <w:jc w:val="both"/>
        <w:rPr>
          <w:i/>
          <w:spacing w:val="-4"/>
          <w:lang w:val="kk-KZ" w:eastAsia="ja-JP"/>
        </w:rPr>
      </w:pPr>
      <w:r w:rsidRPr="005F36B9">
        <w:rPr>
          <w:i/>
          <w:spacing w:val="-4"/>
          <w:lang w:val="kk-KZ" w:eastAsia="ja-JP"/>
        </w:rPr>
        <w:t>Әсер ету механизмі</w:t>
      </w:r>
    </w:p>
    <w:p w:rsidR="0050122F" w:rsidRPr="005F36B9" w:rsidRDefault="0050122F" w:rsidP="0050122F">
      <w:pPr>
        <w:ind w:right="-20"/>
        <w:jc w:val="both"/>
        <w:rPr>
          <w:spacing w:val="-4"/>
          <w:lang w:val="kk-KZ" w:eastAsia="ja-JP"/>
        </w:rPr>
      </w:pPr>
      <w:r w:rsidRPr="005F36B9">
        <w:rPr>
          <w:spacing w:val="-4"/>
          <w:lang w:val="kk-KZ" w:eastAsia="ja-JP"/>
        </w:rPr>
        <w:t xml:space="preserve">Трастузумаб HER2 жасушадан тыс доменінің жарғақша маңының аймағында орналасқан IV қосалқы доменге жоғары тектестік пен ерекшелікке ие. Трастузумабты HER2-мен байланыстыру HER2 лиганда-тәуелсіз сигнал беру жолдарының тежелуіне әкеледі және HER2 белсенділену механизмі болып табылатын оның жасушадан тыс доменінің протеолитикалық бөлінуіне жол бермейді. Осының арқасында трастузумаб </w:t>
      </w:r>
      <w:r w:rsidR="001E7B7A" w:rsidRPr="005F36B9">
        <w:rPr>
          <w:i/>
          <w:spacing w:val="-4"/>
          <w:lang w:val="kk-KZ" w:eastAsia="ja-JP"/>
        </w:rPr>
        <w:t>in vitro</w:t>
      </w:r>
      <w:r w:rsidR="001E7B7A" w:rsidRPr="005F36B9">
        <w:rPr>
          <w:spacing w:val="-4"/>
          <w:lang w:val="kk-KZ" w:eastAsia="ja-JP"/>
        </w:rPr>
        <w:t xml:space="preserve"> зерттеулерінде және жануарларға жүргізілген зерттеулерде көрсетілген</w:t>
      </w:r>
      <w:r w:rsidR="001E7B7A" w:rsidRPr="005F36B9">
        <w:rPr>
          <w:spacing w:val="-4"/>
          <w:lang w:val="kk-KZ" w:eastAsia="ja-JP"/>
        </w:rPr>
        <w:t xml:space="preserve"> </w:t>
      </w:r>
      <w:r w:rsidRPr="005F36B9">
        <w:rPr>
          <w:spacing w:val="-4"/>
          <w:lang w:val="kk-KZ" w:eastAsia="ja-JP"/>
        </w:rPr>
        <w:t xml:space="preserve">HER2 гиперэкспрессиясы бар адамның ісік жасушаларының көбеюін тежейді. Сонымен қатар, трастузумаб антиденеге тәуелді жасушамен байланысты цитоуыттылықтың (АТЖЦ) күшті әсер ететін медиатор болып табылады. </w:t>
      </w:r>
      <w:r w:rsidRPr="005F36B9">
        <w:rPr>
          <w:i/>
          <w:spacing w:val="-4"/>
          <w:lang w:val="kk-KZ" w:eastAsia="ja-JP"/>
        </w:rPr>
        <w:t>In vitro</w:t>
      </w:r>
      <w:r w:rsidRPr="005F36B9">
        <w:rPr>
          <w:spacing w:val="-4"/>
          <w:lang w:val="kk-KZ" w:eastAsia="ja-JP"/>
        </w:rPr>
        <w:t xml:space="preserve"> трастузумаб-астасқан АТЖЦ негізінен HER2 гиперэкспрессиясы жоқ ісік жасушаларына қарағанда HER2 гиперэкспрессиясы бар ісік жасушаларына бағытталған.</w:t>
      </w:r>
    </w:p>
    <w:p w:rsidR="0050122F" w:rsidRPr="005F36B9" w:rsidRDefault="0050122F" w:rsidP="0050122F">
      <w:pPr>
        <w:ind w:right="-20"/>
        <w:jc w:val="both"/>
        <w:rPr>
          <w:spacing w:val="-4"/>
          <w:u w:val="single"/>
          <w:lang w:val="ru-RU" w:eastAsia="ja-JP"/>
        </w:rPr>
      </w:pPr>
      <w:r w:rsidRPr="005F36B9">
        <w:rPr>
          <w:spacing w:val="-4"/>
          <w:u w:val="single"/>
          <w:lang w:val="kk-KZ" w:eastAsia="ja-JP"/>
        </w:rPr>
        <w:t>HER2 гиперэкспрессиясын немесе HER2 генін амплификациясын анықтау</w:t>
      </w:r>
    </w:p>
    <w:p w:rsidR="0050122F" w:rsidRPr="005F36B9" w:rsidRDefault="0050122F" w:rsidP="0050122F">
      <w:pPr>
        <w:ind w:right="-20"/>
        <w:jc w:val="both"/>
        <w:rPr>
          <w:i/>
          <w:spacing w:val="-4"/>
          <w:lang w:val="ru-RU" w:eastAsia="ja-JP"/>
        </w:rPr>
      </w:pPr>
      <w:r w:rsidRPr="005F36B9">
        <w:rPr>
          <w:i/>
          <w:spacing w:val="-4"/>
          <w:lang w:val="kk-KZ" w:eastAsia="ja-JP"/>
        </w:rPr>
        <w:t>Сүт безінің обыры кезінде HER2 гиперэкспрессиясын немесе HER2 генінің амплификациясын анықтау</w:t>
      </w:r>
    </w:p>
    <w:p w:rsidR="0050122F" w:rsidRPr="005F36B9" w:rsidRDefault="00D611E2" w:rsidP="0050122F">
      <w:pPr>
        <w:widowControl/>
        <w:jc w:val="both"/>
        <w:rPr>
          <w:spacing w:val="-4"/>
          <w:lang w:val="kk-KZ"/>
        </w:rPr>
      </w:pPr>
      <w:r w:rsidRPr="005F36B9">
        <w:rPr>
          <w:spacing w:val="-4"/>
          <w:lang w:val="kk-KZ"/>
        </w:rPr>
        <w:t xml:space="preserve">Трастузумабты </w:t>
      </w:r>
      <w:r w:rsidR="0050122F" w:rsidRPr="005F36B9">
        <w:rPr>
          <w:spacing w:val="-4"/>
          <w:lang w:val="kk-KZ"/>
        </w:rPr>
        <w:t xml:space="preserve">дәл және валидацияланған тест көмегімен анықталған HER2 ісік гиперэкспрессиясы немесе HER2 генінің амплификациясы бар пациенттерге ғана тағайындау керек. HER2 гиперэкспрессиясы ісік тінінің анықталған үлгілерін иммуногистохимиялық бағалау (ИГХ) әдісі арқылы белгіленуі тиіс (4.4 бөлімді қараңыз). HER2 генінің амплификациясы ісік тінінің анықталған үлгілерін будандастырудың </w:t>
      </w:r>
      <w:r w:rsidR="0050122F" w:rsidRPr="005F36B9">
        <w:rPr>
          <w:i/>
          <w:spacing w:val="-4"/>
          <w:lang w:val="kk-KZ"/>
        </w:rPr>
        <w:t>in situ</w:t>
      </w:r>
      <w:r w:rsidR="0050122F" w:rsidRPr="005F36B9">
        <w:rPr>
          <w:spacing w:val="-4"/>
          <w:lang w:val="kk-KZ"/>
        </w:rPr>
        <w:t xml:space="preserve"> флуоресценттік (FISH) немесе хромогендік (CISH) көмегімен белгіленуі тиіс. Пациенттерге HER2 айқын гиперэкспрессиясы болған, SCORE маркерін бағалау критерийлеріне сәйкес 3+ балл ретінде бағаланған немесе FISH немесе CISH оң нәтижесі болған кезде </w:t>
      </w:r>
      <w:r w:rsidRPr="005F36B9">
        <w:rPr>
          <w:spacing w:val="-4"/>
          <w:lang w:val="kk-KZ"/>
        </w:rPr>
        <w:t xml:space="preserve">трастузумабпен </w:t>
      </w:r>
      <w:r w:rsidR="0050122F" w:rsidRPr="005F36B9">
        <w:rPr>
          <w:spacing w:val="-4"/>
          <w:lang w:val="kk-KZ"/>
        </w:rPr>
        <w:t>ем тағайындалуы мүмкін.</w:t>
      </w:r>
    </w:p>
    <w:p w:rsidR="0050122F" w:rsidRPr="005F36B9" w:rsidRDefault="0050122F" w:rsidP="0050122F">
      <w:pPr>
        <w:widowControl/>
        <w:jc w:val="both"/>
        <w:rPr>
          <w:spacing w:val="-4"/>
          <w:lang w:val="kk-KZ"/>
        </w:rPr>
      </w:pPr>
      <w:r w:rsidRPr="005F36B9">
        <w:rPr>
          <w:spacing w:val="-4"/>
          <w:lang w:val="kk-KZ"/>
        </w:rPr>
        <w:t xml:space="preserve">Дәл және қайталанатын нәтижелерді қамтамасыз етуге арналған тестілеу рәсімдерінің валидациясын қамтамасыз ете алатын мамандандырылған зертханада өткізілуі тиіс. </w:t>
      </w:r>
    </w:p>
    <w:p w:rsidR="0050122F" w:rsidRPr="005F36B9" w:rsidRDefault="0050122F" w:rsidP="0050122F">
      <w:pPr>
        <w:widowControl/>
        <w:jc w:val="both"/>
        <w:rPr>
          <w:spacing w:val="-4"/>
          <w:lang w:val="kk-KZ"/>
        </w:rPr>
      </w:pPr>
      <w:r w:rsidRPr="005F36B9">
        <w:rPr>
          <w:spacing w:val="-4"/>
          <w:lang w:val="kk-KZ"/>
        </w:rPr>
        <w:t>ИГХ әдісімен боялған үлгілерді бағалау</w:t>
      </w:r>
      <w:r w:rsidR="008722CC" w:rsidRPr="005F36B9">
        <w:rPr>
          <w:spacing w:val="-4"/>
          <w:lang w:val="kk-KZ"/>
        </w:rPr>
        <w:t xml:space="preserve"> үшін ұсынылатын баллдық жүйе 2 </w:t>
      </w:r>
      <w:r w:rsidRPr="005F36B9">
        <w:rPr>
          <w:spacing w:val="-4"/>
          <w:lang w:val="kk-KZ"/>
        </w:rPr>
        <w:t xml:space="preserve">кестеде келтірілген: </w:t>
      </w:r>
    </w:p>
    <w:p w:rsidR="0050122F" w:rsidRPr="005F36B9" w:rsidRDefault="0050122F" w:rsidP="0050122F">
      <w:pPr>
        <w:widowControl/>
        <w:jc w:val="both"/>
        <w:rPr>
          <w:spacing w:val="-4"/>
          <w:lang w:val="kk-KZ"/>
        </w:rPr>
      </w:pPr>
    </w:p>
    <w:p w:rsidR="0050122F" w:rsidRPr="005F36B9" w:rsidRDefault="008722CC" w:rsidP="0050122F">
      <w:pPr>
        <w:widowControl/>
        <w:jc w:val="both"/>
        <w:rPr>
          <w:b/>
          <w:spacing w:val="-4"/>
          <w:lang w:val="kk-KZ"/>
        </w:rPr>
      </w:pPr>
      <w:r w:rsidRPr="005F36B9">
        <w:rPr>
          <w:b/>
          <w:spacing w:val="-4"/>
          <w:lang w:val="kk-KZ"/>
        </w:rPr>
        <w:t xml:space="preserve">2 </w:t>
      </w:r>
      <w:r w:rsidR="0050122F" w:rsidRPr="005F36B9">
        <w:rPr>
          <w:b/>
          <w:spacing w:val="-4"/>
          <w:lang w:val="kk-KZ"/>
        </w:rPr>
        <w:t>кесте. ИГХ әдісімен боялған үлгілерді бағалау үшін ұсынылатын баллдық жүйе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5059"/>
        <w:gridCol w:w="3123"/>
      </w:tblGrid>
      <w:tr w:rsidR="0050122F" w:rsidRPr="005F36B9" w:rsidTr="0050122F">
        <w:tc>
          <w:tcPr>
            <w:tcW w:w="890" w:type="dxa"/>
            <w:shd w:val="clear" w:color="auto" w:fill="auto"/>
          </w:tcPr>
          <w:p w:rsidR="0050122F" w:rsidRPr="005F36B9" w:rsidRDefault="0050122F" w:rsidP="0050122F">
            <w:pPr>
              <w:widowControl/>
              <w:jc w:val="both"/>
              <w:rPr>
                <w:b/>
                <w:spacing w:val="-4"/>
                <w:lang w:val="ru-RU"/>
              </w:rPr>
            </w:pPr>
            <w:r w:rsidRPr="005F36B9">
              <w:rPr>
                <w:b/>
                <w:spacing w:val="-4"/>
                <w:lang w:val="kk-KZ"/>
              </w:rPr>
              <w:t>Балл</w:t>
            </w:r>
          </w:p>
        </w:tc>
        <w:tc>
          <w:tcPr>
            <w:tcW w:w="5059" w:type="dxa"/>
            <w:shd w:val="clear" w:color="auto" w:fill="auto"/>
          </w:tcPr>
          <w:p w:rsidR="0050122F" w:rsidRPr="005F36B9" w:rsidRDefault="0050122F" w:rsidP="0050122F">
            <w:pPr>
              <w:widowControl/>
              <w:jc w:val="both"/>
              <w:rPr>
                <w:b/>
                <w:spacing w:val="-4"/>
                <w:lang w:val="ru-RU"/>
              </w:rPr>
            </w:pPr>
            <w:r w:rsidRPr="005F36B9">
              <w:rPr>
                <w:b/>
                <w:spacing w:val="-4"/>
                <w:lang w:val="kk-KZ"/>
              </w:rPr>
              <w:t>Боялған үлгі</w:t>
            </w:r>
          </w:p>
        </w:tc>
        <w:tc>
          <w:tcPr>
            <w:tcW w:w="3123" w:type="dxa"/>
            <w:shd w:val="clear" w:color="auto" w:fill="auto"/>
          </w:tcPr>
          <w:p w:rsidR="0050122F" w:rsidRPr="005F36B9" w:rsidRDefault="0050122F" w:rsidP="0050122F">
            <w:pPr>
              <w:widowControl/>
              <w:jc w:val="both"/>
              <w:rPr>
                <w:b/>
                <w:spacing w:val="-4"/>
                <w:lang w:val="ru-RU"/>
              </w:rPr>
            </w:pPr>
            <w:r w:rsidRPr="005F36B9">
              <w:rPr>
                <w:b/>
                <w:spacing w:val="-4"/>
                <w:lang w:val="kk-KZ"/>
              </w:rPr>
              <w:t>HER2 гиперэкспрессиясын бағалау</w:t>
            </w:r>
          </w:p>
        </w:tc>
      </w:tr>
      <w:tr w:rsidR="0050122F" w:rsidRPr="005F36B9" w:rsidTr="0050122F">
        <w:tc>
          <w:tcPr>
            <w:tcW w:w="890" w:type="dxa"/>
            <w:shd w:val="clear" w:color="auto" w:fill="auto"/>
          </w:tcPr>
          <w:p w:rsidR="0050122F" w:rsidRPr="005F36B9" w:rsidRDefault="0050122F" w:rsidP="0050122F">
            <w:pPr>
              <w:widowControl/>
              <w:jc w:val="both"/>
              <w:rPr>
                <w:spacing w:val="-4"/>
                <w:lang w:val="ru-RU"/>
              </w:rPr>
            </w:pPr>
            <w:r w:rsidRPr="005F36B9">
              <w:rPr>
                <w:spacing w:val="-4"/>
                <w:lang w:val="kk-KZ"/>
              </w:rPr>
              <w:t>0</w:t>
            </w:r>
          </w:p>
        </w:tc>
        <w:tc>
          <w:tcPr>
            <w:tcW w:w="5059" w:type="dxa"/>
            <w:shd w:val="clear" w:color="auto" w:fill="auto"/>
          </w:tcPr>
          <w:p w:rsidR="0050122F" w:rsidRPr="005F36B9" w:rsidRDefault="0050122F" w:rsidP="0050122F">
            <w:pPr>
              <w:widowControl/>
              <w:rPr>
                <w:spacing w:val="-4"/>
                <w:lang w:val="ru-RU"/>
              </w:rPr>
            </w:pPr>
            <w:r w:rsidRPr="005F36B9">
              <w:rPr>
                <w:spacing w:val="-4"/>
                <w:lang w:val="kk-KZ"/>
              </w:rPr>
              <w:t xml:space="preserve">Бояу байқалмайды немесе жарғақшалық бояу </w:t>
            </w:r>
            <w:r w:rsidRPr="005F36B9">
              <w:rPr>
                <w:spacing w:val="-4"/>
                <w:lang w:val="kk-KZ"/>
              </w:rPr>
              <w:lastRenderedPageBreak/>
              <w:t>ісік жасушаларының &lt;10%-ында байқалады</w:t>
            </w:r>
          </w:p>
        </w:tc>
        <w:tc>
          <w:tcPr>
            <w:tcW w:w="3123" w:type="dxa"/>
            <w:shd w:val="clear" w:color="auto" w:fill="auto"/>
          </w:tcPr>
          <w:p w:rsidR="0050122F" w:rsidRPr="005F36B9" w:rsidRDefault="0050122F" w:rsidP="0050122F">
            <w:pPr>
              <w:widowControl/>
              <w:jc w:val="both"/>
              <w:rPr>
                <w:spacing w:val="-4"/>
                <w:lang w:val="ru-RU"/>
              </w:rPr>
            </w:pPr>
            <w:r w:rsidRPr="005F36B9">
              <w:rPr>
                <w:spacing w:val="-4"/>
                <w:lang w:val="kk-KZ"/>
              </w:rPr>
              <w:lastRenderedPageBreak/>
              <w:t>Теріс</w:t>
            </w:r>
          </w:p>
        </w:tc>
      </w:tr>
      <w:tr w:rsidR="0050122F" w:rsidRPr="005F36B9" w:rsidTr="0050122F">
        <w:tc>
          <w:tcPr>
            <w:tcW w:w="890" w:type="dxa"/>
            <w:shd w:val="clear" w:color="auto" w:fill="auto"/>
          </w:tcPr>
          <w:p w:rsidR="0050122F" w:rsidRPr="005F36B9" w:rsidRDefault="0050122F" w:rsidP="0050122F">
            <w:pPr>
              <w:widowControl/>
              <w:jc w:val="both"/>
              <w:rPr>
                <w:spacing w:val="-4"/>
                <w:lang w:val="ru-RU"/>
              </w:rPr>
            </w:pPr>
            <w:r w:rsidRPr="005F36B9">
              <w:rPr>
                <w:spacing w:val="-4"/>
                <w:lang w:val="kk-KZ"/>
              </w:rPr>
              <w:lastRenderedPageBreak/>
              <w:t>1+</w:t>
            </w:r>
          </w:p>
        </w:tc>
        <w:tc>
          <w:tcPr>
            <w:tcW w:w="5059" w:type="dxa"/>
            <w:shd w:val="clear" w:color="auto" w:fill="auto"/>
          </w:tcPr>
          <w:p w:rsidR="0050122F" w:rsidRPr="005F36B9" w:rsidRDefault="0050122F" w:rsidP="0050122F">
            <w:pPr>
              <w:widowControl/>
              <w:rPr>
                <w:spacing w:val="-4"/>
                <w:lang w:val="ru-RU"/>
              </w:rPr>
            </w:pPr>
            <w:r w:rsidRPr="005F36B9">
              <w:rPr>
                <w:spacing w:val="-4"/>
                <w:lang w:val="kk-KZ"/>
              </w:rPr>
              <w:t>Жарғақшалардың әлсіз/сәл байқалатын боялуы ісік жасушаларының &gt;10%-ында байқалады. Жасушалық жарғақшаның бір бөлігі ғана боялған.</w:t>
            </w:r>
          </w:p>
        </w:tc>
        <w:tc>
          <w:tcPr>
            <w:tcW w:w="3123" w:type="dxa"/>
            <w:shd w:val="clear" w:color="auto" w:fill="auto"/>
          </w:tcPr>
          <w:p w:rsidR="0050122F" w:rsidRPr="005F36B9" w:rsidRDefault="0050122F" w:rsidP="0050122F">
            <w:pPr>
              <w:widowControl/>
              <w:jc w:val="both"/>
              <w:rPr>
                <w:spacing w:val="-4"/>
                <w:lang w:val="ru-RU"/>
              </w:rPr>
            </w:pPr>
            <w:r w:rsidRPr="005F36B9">
              <w:rPr>
                <w:spacing w:val="-4"/>
                <w:lang w:val="kk-KZ"/>
              </w:rPr>
              <w:t>Теріс</w:t>
            </w:r>
          </w:p>
        </w:tc>
      </w:tr>
      <w:tr w:rsidR="0050122F" w:rsidRPr="005F36B9" w:rsidTr="0050122F">
        <w:tc>
          <w:tcPr>
            <w:tcW w:w="890" w:type="dxa"/>
            <w:shd w:val="clear" w:color="auto" w:fill="auto"/>
          </w:tcPr>
          <w:p w:rsidR="0050122F" w:rsidRPr="005F36B9" w:rsidRDefault="0050122F" w:rsidP="0050122F">
            <w:pPr>
              <w:widowControl/>
              <w:jc w:val="both"/>
              <w:rPr>
                <w:spacing w:val="-4"/>
                <w:lang w:val="ru-RU"/>
              </w:rPr>
            </w:pPr>
            <w:r w:rsidRPr="005F36B9">
              <w:rPr>
                <w:spacing w:val="-4"/>
                <w:lang w:val="kk-KZ"/>
              </w:rPr>
              <w:t>2+</w:t>
            </w:r>
          </w:p>
        </w:tc>
        <w:tc>
          <w:tcPr>
            <w:tcW w:w="5059" w:type="dxa"/>
            <w:shd w:val="clear" w:color="auto" w:fill="auto"/>
          </w:tcPr>
          <w:p w:rsidR="0050122F" w:rsidRPr="005F36B9" w:rsidRDefault="0050122F" w:rsidP="0050122F">
            <w:pPr>
              <w:widowControl/>
              <w:jc w:val="both"/>
              <w:rPr>
                <w:spacing w:val="-4"/>
                <w:lang w:val="ru-RU"/>
              </w:rPr>
            </w:pPr>
            <w:r w:rsidRPr="005F36B9">
              <w:rPr>
                <w:spacing w:val="-4"/>
                <w:lang w:val="kk-KZ"/>
              </w:rPr>
              <w:t>Жарғақшалардың толық боялуы (әлсізден орташа қарқындыға дейін) ісік жасушаларының &gt;10%-ында байқалады.</w:t>
            </w:r>
            <w:r w:rsidRPr="005F36B9">
              <w:rPr>
                <w:spacing w:val="-4"/>
                <w:lang w:val="kk-KZ"/>
              </w:rPr>
              <w:tab/>
            </w:r>
          </w:p>
        </w:tc>
        <w:tc>
          <w:tcPr>
            <w:tcW w:w="3123" w:type="dxa"/>
            <w:shd w:val="clear" w:color="auto" w:fill="auto"/>
          </w:tcPr>
          <w:p w:rsidR="0050122F" w:rsidRPr="005F36B9" w:rsidRDefault="0050122F" w:rsidP="0050122F">
            <w:pPr>
              <w:widowControl/>
              <w:jc w:val="both"/>
              <w:rPr>
                <w:spacing w:val="-4"/>
                <w:lang w:val="ru-RU"/>
              </w:rPr>
            </w:pPr>
            <w:r w:rsidRPr="005F36B9">
              <w:rPr>
                <w:spacing w:val="-4"/>
                <w:lang w:val="ru-RU"/>
              </w:rPr>
              <w:t>Б</w:t>
            </w:r>
            <w:r w:rsidRPr="005F36B9">
              <w:rPr>
                <w:spacing w:val="-4"/>
                <w:lang w:val="kk-KZ"/>
              </w:rPr>
              <w:t>ірмәнді емес</w:t>
            </w:r>
          </w:p>
        </w:tc>
      </w:tr>
      <w:tr w:rsidR="0050122F" w:rsidRPr="005F36B9" w:rsidTr="0050122F">
        <w:tc>
          <w:tcPr>
            <w:tcW w:w="890" w:type="dxa"/>
            <w:shd w:val="clear" w:color="auto" w:fill="auto"/>
          </w:tcPr>
          <w:p w:rsidR="0050122F" w:rsidRPr="005F36B9" w:rsidRDefault="0050122F" w:rsidP="0050122F">
            <w:pPr>
              <w:widowControl/>
              <w:jc w:val="both"/>
              <w:rPr>
                <w:spacing w:val="-4"/>
                <w:lang w:val="ru-RU"/>
              </w:rPr>
            </w:pPr>
            <w:r w:rsidRPr="005F36B9">
              <w:rPr>
                <w:spacing w:val="-4"/>
                <w:lang w:val="kk-KZ"/>
              </w:rPr>
              <w:t>3+</w:t>
            </w:r>
          </w:p>
        </w:tc>
        <w:tc>
          <w:tcPr>
            <w:tcW w:w="5059" w:type="dxa"/>
            <w:shd w:val="clear" w:color="auto" w:fill="auto"/>
          </w:tcPr>
          <w:p w:rsidR="0050122F" w:rsidRPr="005F36B9" w:rsidRDefault="0050122F" w:rsidP="0050122F">
            <w:pPr>
              <w:widowControl/>
              <w:jc w:val="both"/>
              <w:rPr>
                <w:spacing w:val="-4"/>
                <w:lang w:val="ru-RU"/>
              </w:rPr>
            </w:pPr>
            <w:r w:rsidRPr="005F36B9">
              <w:rPr>
                <w:spacing w:val="-4"/>
                <w:lang w:val="kk-KZ"/>
              </w:rPr>
              <w:t>Жарғақшалардың толық қарқынды боялуы ісік жасушаларының &gt;10%-ында байқалады.</w:t>
            </w:r>
            <w:r w:rsidRPr="005F36B9">
              <w:rPr>
                <w:spacing w:val="-4"/>
                <w:lang w:val="kk-KZ"/>
              </w:rPr>
              <w:tab/>
            </w:r>
          </w:p>
        </w:tc>
        <w:tc>
          <w:tcPr>
            <w:tcW w:w="3123" w:type="dxa"/>
            <w:shd w:val="clear" w:color="auto" w:fill="auto"/>
          </w:tcPr>
          <w:p w:rsidR="0050122F" w:rsidRPr="005F36B9" w:rsidRDefault="0050122F" w:rsidP="0050122F">
            <w:pPr>
              <w:widowControl/>
              <w:jc w:val="both"/>
              <w:rPr>
                <w:spacing w:val="-4"/>
                <w:lang w:val="ru-RU"/>
              </w:rPr>
            </w:pPr>
            <w:r w:rsidRPr="005F36B9">
              <w:rPr>
                <w:spacing w:val="-4"/>
                <w:lang w:val="kk-KZ"/>
              </w:rPr>
              <w:t>Оң</w:t>
            </w:r>
          </w:p>
        </w:tc>
      </w:tr>
    </w:tbl>
    <w:p w:rsidR="0050122F" w:rsidRPr="005F36B9" w:rsidRDefault="0050122F" w:rsidP="0050122F">
      <w:pPr>
        <w:widowControl/>
        <w:jc w:val="both"/>
        <w:rPr>
          <w:spacing w:val="-4"/>
          <w:lang w:val="ru-RU"/>
        </w:rPr>
      </w:pPr>
    </w:p>
    <w:p w:rsidR="0050122F" w:rsidRPr="005F36B9" w:rsidRDefault="0050122F" w:rsidP="0050122F">
      <w:pPr>
        <w:widowControl/>
        <w:jc w:val="both"/>
        <w:rPr>
          <w:spacing w:val="-4"/>
          <w:lang w:val="ru-RU"/>
        </w:rPr>
      </w:pPr>
      <w:r w:rsidRPr="005F36B9">
        <w:rPr>
          <w:spacing w:val="-4"/>
          <w:lang w:val="kk-KZ"/>
        </w:rPr>
        <w:t>Әдетте, егер ісік жасушасындағы HER2 генінің көшірмелер санының 17 хромосома көшірмелер санына арақатынасы 2-ден үлкен немесе тең болса немесе егер ісік жасушасында HER2 генінің 4-тен астам көшірмесі анықталса, егер 17 хромосома бақылау ретінде пайдаланылмаса, FISH нәтижесі оң деп саналады.</w:t>
      </w:r>
    </w:p>
    <w:p w:rsidR="0050122F" w:rsidRPr="005F36B9" w:rsidRDefault="0050122F" w:rsidP="0050122F">
      <w:pPr>
        <w:widowControl/>
        <w:jc w:val="both"/>
        <w:rPr>
          <w:spacing w:val="-4"/>
          <w:lang w:val="ru-RU"/>
        </w:rPr>
      </w:pPr>
      <w:r w:rsidRPr="005F36B9">
        <w:rPr>
          <w:spacing w:val="-4"/>
          <w:lang w:val="kk-KZ"/>
        </w:rPr>
        <w:t>Әдетте, егер ісік жасушаларының 50%-дан астамында бір ядроға HER2 генінің 5-тен астам көшірмесі анықталса, CISH нәтижесі оң деп саналады.</w:t>
      </w:r>
    </w:p>
    <w:p w:rsidR="0050122F" w:rsidRPr="005F36B9" w:rsidRDefault="0050122F" w:rsidP="0050122F">
      <w:pPr>
        <w:widowControl/>
        <w:jc w:val="both"/>
        <w:rPr>
          <w:spacing w:val="-4"/>
          <w:lang w:val="kk-KZ"/>
        </w:rPr>
      </w:pPr>
      <w:r w:rsidRPr="005F36B9">
        <w:rPr>
          <w:spacing w:val="-4"/>
          <w:lang w:val="kk-KZ"/>
        </w:rPr>
        <w:t xml:space="preserve">Тестілеу процедурасын жүргізу және оның нәтижелерін түсіндіру жөніндегі </w:t>
      </w:r>
      <w:r w:rsidR="00354BC2" w:rsidRPr="005F36B9">
        <w:rPr>
          <w:spacing w:val="-4"/>
          <w:lang w:val="kk-KZ"/>
        </w:rPr>
        <w:t xml:space="preserve">толық </w:t>
      </w:r>
      <w:r w:rsidRPr="005F36B9">
        <w:rPr>
          <w:spacing w:val="-4"/>
          <w:lang w:val="kk-KZ"/>
        </w:rPr>
        <w:t>нұсқаулықтарды FISH және CISH валидацияланған талдауларын жүргізу жөніндегі нұсқаулықтардан қараңыз. Сондай-ақ, HER2-тестілеу бойынша ресми ұсынымдарды басшылыққа алу керек.</w:t>
      </w:r>
    </w:p>
    <w:p w:rsidR="0050122F" w:rsidRPr="005F36B9" w:rsidRDefault="0050122F" w:rsidP="0050122F">
      <w:pPr>
        <w:widowControl/>
        <w:jc w:val="both"/>
        <w:rPr>
          <w:spacing w:val="-4"/>
          <w:lang w:val="kk-KZ"/>
        </w:rPr>
      </w:pPr>
      <w:r w:rsidRPr="005F36B9">
        <w:rPr>
          <w:spacing w:val="-4"/>
          <w:lang w:val="kk-KZ"/>
        </w:rPr>
        <w:t>HER2 ақуызының немесе генінің экспрессиясын кез келген басқа әдістермен бағалауды валидацияланған әдістер арқылы талапқа сай өзекті бағалауды қамтамасыз ете алатын зертханаларда ғана орындау керек. Мұндай әдістер HER2 гиперэкспрессиясының орташа (2+ балл) және айқын (3+ балл) дәрежесін саралау мүмкіндігімен HER2 гиперэкспрессиясын растау үшін жеткілікті дәл және сенімді болуы тиіс.</w:t>
      </w:r>
    </w:p>
    <w:p w:rsidR="0050122F" w:rsidRPr="005F36B9" w:rsidRDefault="0050122F" w:rsidP="0050122F">
      <w:pPr>
        <w:ind w:right="-20"/>
        <w:jc w:val="both"/>
        <w:rPr>
          <w:i/>
          <w:spacing w:val="-4"/>
          <w:lang w:val="kk-KZ" w:eastAsia="ja-JP"/>
        </w:rPr>
      </w:pPr>
      <w:r w:rsidRPr="005F36B9">
        <w:rPr>
          <w:i/>
          <w:spacing w:val="-4"/>
          <w:lang w:val="kk-KZ" w:eastAsia="ja-JP"/>
        </w:rPr>
        <w:t>Клиникалық тиімділігі және қауіпсіздігі</w:t>
      </w:r>
    </w:p>
    <w:p w:rsidR="0050122F" w:rsidRPr="005F36B9" w:rsidRDefault="0050122F" w:rsidP="0050122F">
      <w:pPr>
        <w:ind w:right="-20"/>
        <w:jc w:val="both"/>
        <w:rPr>
          <w:i/>
          <w:spacing w:val="-4"/>
          <w:u w:val="single"/>
          <w:lang w:val="kk-KZ" w:eastAsia="ja-JP"/>
        </w:rPr>
      </w:pPr>
      <w:r w:rsidRPr="005F36B9">
        <w:rPr>
          <w:i/>
          <w:spacing w:val="-4"/>
          <w:u w:val="single"/>
          <w:lang w:val="kk-KZ" w:eastAsia="ja-JP"/>
        </w:rPr>
        <w:t>Сүт безінің метастаздық обыры</w:t>
      </w:r>
    </w:p>
    <w:p w:rsidR="0050122F" w:rsidRPr="005F36B9" w:rsidRDefault="0050122F" w:rsidP="0050122F">
      <w:pPr>
        <w:ind w:right="-20"/>
        <w:jc w:val="both"/>
        <w:rPr>
          <w:i/>
          <w:spacing w:val="-4"/>
          <w:lang w:val="kk-KZ" w:eastAsia="ja-JP"/>
        </w:rPr>
      </w:pPr>
      <w:r w:rsidRPr="005F36B9">
        <w:rPr>
          <w:i/>
          <w:spacing w:val="-4"/>
          <w:lang w:val="kk-KZ" w:eastAsia="ja-JP"/>
        </w:rPr>
        <w:t>Препараттың вена ішіне енгізуге арналған дәрілік түрі</w:t>
      </w:r>
    </w:p>
    <w:p w:rsidR="0050122F" w:rsidRPr="005F36B9" w:rsidRDefault="0050122F" w:rsidP="0050122F">
      <w:pPr>
        <w:widowControl/>
        <w:jc w:val="both"/>
        <w:rPr>
          <w:spacing w:val="-4"/>
          <w:lang w:val="kk-KZ"/>
        </w:rPr>
      </w:pPr>
      <w:r w:rsidRPr="005F36B9">
        <w:rPr>
          <w:spacing w:val="-4"/>
          <w:lang w:val="kk-KZ"/>
        </w:rPr>
        <w:t xml:space="preserve">Клиникалық зерттеулерде </w:t>
      </w:r>
      <w:r w:rsidR="00D611E2" w:rsidRPr="005F36B9">
        <w:rPr>
          <w:spacing w:val="-4"/>
          <w:lang w:val="kk-KZ"/>
        </w:rPr>
        <w:t xml:space="preserve">трастузумабты </w:t>
      </w:r>
      <w:r w:rsidRPr="005F36B9">
        <w:rPr>
          <w:spacing w:val="-4"/>
          <w:lang w:val="kk-KZ"/>
        </w:rPr>
        <w:t>тиімсіз болып қалған метастаздық ауруға байланысты химиотерапияның бір немесе бірнеше режимін алған HER2 ісік гиперэкспрессиясы бар СБмО-ға шалдыққан пациенттерді емдеу үшін монотерапия ретінде қолданылды (</w:t>
      </w:r>
      <w:r w:rsidR="00D611E2" w:rsidRPr="005F36B9">
        <w:rPr>
          <w:spacing w:val="-4"/>
          <w:lang w:val="kk-KZ"/>
        </w:rPr>
        <w:t xml:space="preserve">трастузумабты </w:t>
      </w:r>
      <w:r w:rsidRPr="005F36B9">
        <w:rPr>
          <w:spacing w:val="-4"/>
          <w:lang w:val="kk-KZ"/>
        </w:rPr>
        <w:t>жалғыз дәрілік зат ретінде қолданылды).</w:t>
      </w:r>
    </w:p>
    <w:p w:rsidR="0050122F" w:rsidRPr="005F36B9" w:rsidRDefault="00D611E2" w:rsidP="0050122F">
      <w:pPr>
        <w:widowControl/>
        <w:jc w:val="both"/>
        <w:rPr>
          <w:rFonts w:ascii="Arial" w:hAnsi="Arial" w:cs="Arial"/>
          <w:spacing w:val="-4"/>
          <w:lang w:val="kk-KZ"/>
        </w:rPr>
      </w:pPr>
      <w:r w:rsidRPr="005F36B9">
        <w:rPr>
          <w:spacing w:val="-4"/>
          <w:lang w:val="kk-KZ"/>
        </w:rPr>
        <w:t xml:space="preserve">Трастузумаб </w:t>
      </w:r>
      <w:r w:rsidR="0050122F" w:rsidRPr="005F36B9">
        <w:rPr>
          <w:spacing w:val="-4"/>
          <w:lang w:val="kk-KZ"/>
        </w:rPr>
        <w:t xml:space="preserve">метастаздық ауру себебі бойынша бұрын химиотерапия алмаған пациенттерді емдеу үшін паклитакселмен немесе доцетакселмен біріктірілімде де қолданылған. Бұрын антрациклиндер негізінде адъювантты химиотерапия алған пациенттерге </w:t>
      </w:r>
      <w:r w:rsidRPr="005F36B9">
        <w:rPr>
          <w:spacing w:val="-4"/>
          <w:lang w:val="kk-KZ"/>
        </w:rPr>
        <w:t>трастузумабпен</w:t>
      </w:r>
      <w:r w:rsidR="0050122F" w:rsidRPr="005F36B9">
        <w:rPr>
          <w:spacing w:val="-4"/>
          <w:lang w:val="kk-KZ"/>
        </w:rPr>
        <w:t xml:space="preserve"> бірге немесе онсыз паклитакселмен емдеу (175 мг/м</w:t>
      </w:r>
      <w:r w:rsidR="0050122F" w:rsidRPr="005F36B9">
        <w:rPr>
          <w:spacing w:val="-4"/>
          <w:vertAlign w:val="superscript"/>
          <w:lang w:val="kk-KZ"/>
        </w:rPr>
        <w:t>2</w:t>
      </w:r>
      <w:r w:rsidR="0050122F" w:rsidRPr="005F36B9">
        <w:rPr>
          <w:spacing w:val="-4"/>
          <w:lang w:val="kk-KZ"/>
        </w:rPr>
        <w:t xml:space="preserve"> дозада, 3 сағат бойы жасалған инфузия) тағайындалды. Доцетаксел қолданылған</w:t>
      </w:r>
      <w:r w:rsidR="00354BC2" w:rsidRPr="005F36B9">
        <w:rPr>
          <w:spacing w:val="-4"/>
          <w:lang w:val="kk-KZ"/>
        </w:rPr>
        <w:t xml:space="preserve"> </w:t>
      </w:r>
      <w:r w:rsidR="0050122F" w:rsidRPr="005F36B9">
        <w:rPr>
          <w:spacing w:val="-4"/>
          <w:lang w:val="kk-KZ"/>
        </w:rPr>
        <w:t>базалық зерттеуде (100 мг/м</w:t>
      </w:r>
      <w:r w:rsidR="0050122F" w:rsidRPr="005F36B9">
        <w:rPr>
          <w:spacing w:val="-4"/>
          <w:vertAlign w:val="superscript"/>
          <w:lang w:val="kk-KZ"/>
        </w:rPr>
        <w:t>2</w:t>
      </w:r>
      <w:r w:rsidR="0050122F" w:rsidRPr="005F36B9">
        <w:rPr>
          <w:spacing w:val="-4"/>
          <w:lang w:val="kk-KZ"/>
        </w:rPr>
        <w:t xml:space="preserve"> дозада, 1 сағат бойы жасалған инфузия) </w:t>
      </w:r>
      <w:r w:rsidRPr="005F36B9">
        <w:rPr>
          <w:spacing w:val="-4"/>
          <w:lang w:val="kk-KZ"/>
        </w:rPr>
        <w:t xml:space="preserve">трастузумабпен </w:t>
      </w:r>
      <w:r w:rsidR="0050122F" w:rsidRPr="005F36B9">
        <w:rPr>
          <w:spacing w:val="-4"/>
          <w:lang w:val="kk-KZ"/>
        </w:rPr>
        <w:t xml:space="preserve">бірге немесе онсыз пациенттердің 60%-ы антрациклиндер негізінде алдыңғы адъювантты химиотерапия алды. Пациенттер ауру өршігенге дейін </w:t>
      </w:r>
      <w:r w:rsidRPr="005F36B9">
        <w:rPr>
          <w:spacing w:val="-4"/>
          <w:lang w:val="kk-KZ"/>
        </w:rPr>
        <w:t xml:space="preserve">трастузумабпен </w:t>
      </w:r>
      <w:r w:rsidR="0050122F" w:rsidRPr="005F36B9">
        <w:rPr>
          <w:spacing w:val="-4"/>
          <w:lang w:val="kk-KZ"/>
        </w:rPr>
        <w:t>ем алды.</w:t>
      </w:r>
    </w:p>
    <w:p w:rsidR="0050122F" w:rsidRPr="005F36B9" w:rsidRDefault="0050122F" w:rsidP="0050122F">
      <w:pPr>
        <w:widowControl/>
        <w:jc w:val="both"/>
        <w:rPr>
          <w:spacing w:val="-4"/>
          <w:lang w:val="kk-KZ"/>
        </w:rPr>
      </w:pPr>
      <w:r w:rsidRPr="005F36B9">
        <w:rPr>
          <w:spacing w:val="-4"/>
          <w:lang w:val="kk-KZ"/>
        </w:rPr>
        <w:t xml:space="preserve">Бұрын антрациклиндер негізінде адъювантты ем алмаған пациенттерде паклитакселмен біріктірілген </w:t>
      </w:r>
      <w:r w:rsidR="00D611E2" w:rsidRPr="005F36B9">
        <w:rPr>
          <w:spacing w:val="-4"/>
          <w:lang w:val="kk-KZ"/>
        </w:rPr>
        <w:t>трастузумабп</w:t>
      </w:r>
      <w:r w:rsidRPr="005F36B9">
        <w:rPr>
          <w:spacing w:val="-4"/>
          <w:lang w:val="kk-KZ"/>
        </w:rPr>
        <w:t xml:space="preserve">ен емнің тиімділігі зерттелмеген. Дегенмен, </w:t>
      </w:r>
      <w:r w:rsidR="00D611E2" w:rsidRPr="005F36B9">
        <w:rPr>
          <w:spacing w:val="-4"/>
          <w:lang w:val="kk-KZ"/>
        </w:rPr>
        <w:t>трастузумаб</w:t>
      </w:r>
      <w:r w:rsidRPr="005F36B9">
        <w:rPr>
          <w:spacing w:val="-4"/>
          <w:lang w:val="kk-KZ"/>
        </w:rPr>
        <w:t xml:space="preserve"> </w:t>
      </w:r>
      <w:r w:rsidR="00D611E2" w:rsidRPr="005F36B9">
        <w:rPr>
          <w:spacing w:val="-4"/>
          <w:lang w:val="kk-KZ"/>
        </w:rPr>
        <w:t>және</w:t>
      </w:r>
      <w:r w:rsidRPr="005F36B9">
        <w:rPr>
          <w:spacing w:val="-4"/>
          <w:lang w:val="kk-KZ"/>
        </w:rPr>
        <w:t xml:space="preserve"> доцетакселдің біріктірілімі пациенттер бұрын антрациклиндер негізінде адъювантты химиотерапия алған-алмағанына қарамастан тиімді болды.</w:t>
      </w:r>
    </w:p>
    <w:p w:rsidR="0050122F" w:rsidRPr="005F36B9" w:rsidRDefault="0050122F" w:rsidP="0050122F">
      <w:pPr>
        <w:widowControl/>
        <w:jc w:val="both"/>
        <w:rPr>
          <w:spacing w:val="-4"/>
          <w:lang w:val="kk-KZ"/>
        </w:rPr>
      </w:pPr>
      <w:r w:rsidRPr="005F36B9">
        <w:rPr>
          <w:spacing w:val="-4"/>
          <w:lang w:val="kk-KZ"/>
        </w:rPr>
        <w:t xml:space="preserve">Монотерапия ретінде және паклитакселмен біріктірілімде </w:t>
      </w:r>
      <w:r w:rsidR="00D611E2" w:rsidRPr="005F36B9">
        <w:rPr>
          <w:spacing w:val="-4"/>
          <w:lang w:val="kk-KZ"/>
        </w:rPr>
        <w:t xml:space="preserve">трастузумабты </w:t>
      </w:r>
      <w:r w:rsidRPr="005F36B9">
        <w:rPr>
          <w:spacing w:val="-4"/>
          <w:lang w:val="kk-KZ"/>
        </w:rPr>
        <w:t xml:space="preserve">қолдана отырып, базалық клиникалық зерттеулерге қосу критерийлерін қанағаттандыратын пациенттерде HER2 гиперэкспрессиясын айқындау үшін тышқанның моноклональді СВ11 және 4D5 антиденелерін пайдалана отырып, сүт безінің ісік тінінің тіркелген үлгілерін иммуногистохимиялық (ИГХ) бағалау әдісі қолданылды. Тіндер формалинде немесе Боуэн бекіткішінде бекітілді. Бағалау орталық зертханада 0-ден 3+ дейінгі баллдық шкаланы пайдалана отырып, жүргізілді. 2+ немесе 3+ балл ісік тіндері үлгілерінің боялған </w:t>
      </w:r>
      <w:r w:rsidRPr="005F36B9">
        <w:rPr>
          <w:spacing w:val="-4"/>
          <w:lang w:val="kk-KZ"/>
        </w:rPr>
        <w:lastRenderedPageBreak/>
        <w:t>нәтижелері бар пациенттер зерттеуге енгізілді, 0 немесе 1+ балл нәтижелері бар пациенттер зерттеуден шығарылды. Зерттеуге енгізілген пациенттердің 70%-дан астамында 3+ балл ретінде бағаланған гиперэкспрессия болды. Алынған деректер HER2 гиперэкспрессиясының деңгейі анағұрлым жоғары (3+ балл) пациенттерде емдеудің неғұрлым маңызды тиімділігі туралы айтуға мүмкіндік береді.</w:t>
      </w:r>
    </w:p>
    <w:p w:rsidR="0050122F" w:rsidRPr="005F36B9" w:rsidRDefault="0050122F" w:rsidP="0050122F">
      <w:pPr>
        <w:widowControl/>
        <w:jc w:val="both"/>
        <w:rPr>
          <w:spacing w:val="-4"/>
          <w:lang w:val="kk-KZ"/>
        </w:rPr>
      </w:pPr>
      <w:r w:rsidRPr="005F36B9">
        <w:rPr>
          <w:spacing w:val="-4"/>
          <w:lang w:val="kk-KZ"/>
        </w:rPr>
        <w:t xml:space="preserve">ИГХ зерттеу </w:t>
      </w:r>
      <w:r w:rsidR="00E616ED" w:rsidRPr="005F36B9">
        <w:rPr>
          <w:spacing w:val="-4"/>
          <w:lang w:val="kk-KZ"/>
        </w:rPr>
        <w:t xml:space="preserve">трастузумабты </w:t>
      </w:r>
      <w:r w:rsidRPr="005F36B9">
        <w:rPr>
          <w:spacing w:val="-4"/>
          <w:lang w:val="kk-KZ"/>
        </w:rPr>
        <w:t xml:space="preserve">доцетакселмен/онсыз қолданудың базалық зерттеулерінде HER2 гиперэкспрессиясын анықтаудың негізгі әдісі болды. Пациенттердің аз бөлігінде тестілеу үшін флуоресцентті </w:t>
      </w:r>
      <w:r w:rsidRPr="005F36B9">
        <w:rPr>
          <w:i/>
          <w:spacing w:val="-4"/>
          <w:lang w:val="kk-KZ"/>
        </w:rPr>
        <w:t>in situ</w:t>
      </w:r>
      <w:r w:rsidRPr="005F36B9">
        <w:rPr>
          <w:spacing w:val="-4"/>
          <w:lang w:val="kk-KZ"/>
        </w:rPr>
        <w:t xml:space="preserve"> будандастыру (FISH) әдісі қолданылды. Осы зерттеуге енгізілген пациенттердің 87%-ында HER2 гиперэкспрессиясы (ИГХЗ+), 95% - ИГХЗ+ және/немесе FISH оң нәтижесі байқалды.</w:t>
      </w:r>
    </w:p>
    <w:p w:rsidR="0050122F" w:rsidRPr="005F36B9" w:rsidRDefault="0050122F" w:rsidP="0050122F">
      <w:pPr>
        <w:widowControl/>
        <w:jc w:val="both"/>
        <w:rPr>
          <w:i/>
          <w:spacing w:val="-4"/>
          <w:lang w:val="kk-KZ"/>
        </w:rPr>
      </w:pPr>
      <w:r w:rsidRPr="005F36B9">
        <w:rPr>
          <w:i/>
          <w:spacing w:val="-4"/>
          <w:lang w:val="kk-KZ"/>
        </w:rPr>
        <w:t>Сүт безінің метастаздық обырында апта сайын дозалау</w:t>
      </w:r>
    </w:p>
    <w:p w:rsidR="0050122F" w:rsidRPr="005F36B9" w:rsidRDefault="0050122F" w:rsidP="0050122F">
      <w:pPr>
        <w:widowControl/>
        <w:jc w:val="both"/>
        <w:rPr>
          <w:spacing w:val="-4"/>
          <w:lang w:val="kk-KZ"/>
        </w:rPr>
      </w:pPr>
      <w:r w:rsidRPr="005F36B9">
        <w:rPr>
          <w:spacing w:val="-4"/>
          <w:lang w:val="kk-KZ"/>
        </w:rPr>
        <w:t>Монотерапияның және біріктірілген емнің т</w:t>
      </w:r>
      <w:r w:rsidR="008B196D" w:rsidRPr="005F36B9">
        <w:rPr>
          <w:spacing w:val="-4"/>
          <w:lang w:val="kk-KZ"/>
        </w:rPr>
        <w:t xml:space="preserve">иімділігін зерттеу нәтижелері 3 </w:t>
      </w:r>
      <w:r w:rsidRPr="005F36B9">
        <w:rPr>
          <w:spacing w:val="-4"/>
          <w:lang w:val="kk-KZ"/>
        </w:rPr>
        <w:t xml:space="preserve">кестеде жинақталған: </w:t>
      </w:r>
    </w:p>
    <w:p w:rsidR="0050122F" w:rsidRPr="005F36B9" w:rsidRDefault="0050122F" w:rsidP="0050122F">
      <w:pPr>
        <w:widowControl/>
        <w:jc w:val="both"/>
        <w:rPr>
          <w:b/>
          <w:spacing w:val="-4"/>
          <w:lang w:val="kk-KZ"/>
        </w:rPr>
      </w:pPr>
    </w:p>
    <w:p w:rsidR="0050122F" w:rsidRPr="005F36B9" w:rsidRDefault="008B196D" w:rsidP="0050122F">
      <w:pPr>
        <w:widowControl/>
        <w:jc w:val="both"/>
        <w:rPr>
          <w:b/>
          <w:spacing w:val="-4"/>
          <w:lang w:val="kk-KZ"/>
        </w:rPr>
      </w:pPr>
      <w:r w:rsidRPr="005F36B9">
        <w:rPr>
          <w:b/>
          <w:spacing w:val="-4"/>
          <w:lang w:val="kk-KZ"/>
        </w:rPr>
        <w:t xml:space="preserve">3 </w:t>
      </w:r>
      <w:r w:rsidR="0050122F" w:rsidRPr="005F36B9">
        <w:rPr>
          <w:b/>
          <w:spacing w:val="-4"/>
          <w:lang w:val="kk-KZ"/>
        </w:rPr>
        <w:t>кесте. Монотерапияның және біріктірілген емнің тиімділігін зерттеу нәтижелері</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559"/>
        <w:gridCol w:w="1418"/>
        <w:gridCol w:w="1417"/>
        <w:gridCol w:w="1559"/>
      </w:tblGrid>
      <w:tr w:rsidR="0050122F" w:rsidRPr="005F36B9" w:rsidTr="0050122F">
        <w:trPr>
          <w:trHeight w:val="499"/>
        </w:trPr>
        <w:tc>
          <w:tcPr>
            <w:tcW w:w="1418" w:type="dxa"/>
            <w:shd w:val="clear" w:color="auto" w:fill="auto"/>
          </w:tcPr>
          <w:p w:rsidR="0050122F" w:rsidRPr="005F36B9" w:rsidRDefault="0050122F" w:rsidP="0050122F">
            <w:pPr>
              <w:widowControl/>
              <w:rPr>
                <w:b/>
                <w:spacing w:val="-4"/>
                <w:lang w:val="ru-RU"/>
              </w:rPr>
            </w:pPr>
            <w:r w:rsidRPr="005F36B9">
              <w:rPr>
                <w:b/>
                <w:spacing w:val="-4"/>
                <w:lang w:val="kk-KZ"/>
              </w:rPr>
              <w:t xml:space="preserve"> Параметр</w:t>
            </w:r>
          </w:p>
        </w:tc>
        <w:tc>
          <w:tcPr>
            <w:tcW w:w="1701" w:type="dxa"/>
            <w:shd w:val="clear" w:color="auto" w:fill="auto"/>
          </w:tcPr>
          <w:p w:rsidR="0050122F" w:rsidRPr="005F36B9" w:rsidRDefault="0050122F" w:rsidP="0050122F">
            <w:pPr>
              <w:widowControl/>
              <w:jc w:val="center"/>
              <w:rPr>
                <w:b/>
                <w:spacing w:val="-4"/>
                <w:lang w:val="ru-RU"/>
              </w:rPr>
            </w:pPr>
            <w:r w:rsidRPr="005F36B9">
              <w:rPr>
                <w:b/>
                <w:spacing w:val="-4"/>
                <w:lang w:val="kk-KZ"/>
              </w:rPr>
              <w:t>Монотерапия</w:t>
            </w:r>
          </w:p>
        </w:tc>
        <w:tc>
          <w:tcPr>
            <w:tcW w:w="5953" w:type="dxa"/>
            <w:gridSpan w:val="4"/>
            <w:shd w:val="clear" w:color="auto" w:fill="auto"/>
          </w:tcPr>
          <w:p w:rsidR="0050122F" w:rsidRPr="005F36B9" w:rsidRDefault="0050122F" w:rsidP="0050122F">
            <w:pPr>
              <w:widowControl/>
              <w:jc w:val="center"/>
              <w:rPr>
                <w:b/>
                <w:spacing w:val="-4"/>
                <w:lang w:val="ru-RU"/>
              </w:rPr>
            </w:pPr>
            <w:r w:rsidRPr="005F36B9">
              <w:rPr>
                <w:b/>
                <w:spacing w:val="-4"/>
                <w:lang w:val="kk-KZ"/>
              </w:rPr>
              <w:t xml:space="preserve">Біріктірілген ем </w:t>
            </w:r>
          </w:p>
        </w:tc>
      </w:tr>
      <w:tr w:rsidR="0050122F" w:rsidRPr="005F36B9" w:rsidTr="0050122F">
        <w:trPr>
          <w:trHeight w:val="1543"/>
        </w:trPr>
        <w:tc>
          <w:tcPr>
            <w:tcW w:w="1418" w:type="dxa"/>
            <w:shd w:val="clear" w:color="auto" w:fill="auto"/>
          </w:tcPr>
          <w:p w:rsidR="0050122F" w:rsidRPr="005F36B9" w:rsidRDefault="0050122F" w:rsidP="0050122F">
            <w:pPr>
              <w:ind w:right="-20"/>
              <w:jc w:val="both"/>
              <w:rPr>
                <w:spacing w:val="-4"/>
                <w:lang w:val="ru-RU"/>
              </w:rPr>
            </w:pPr>
          </w:p>
        </w:tc>
        <w:tc>
          <w:tcPr>
            <w:tcW w:w="1701" w:type="dxa"/>
            <w:shd w:val="clear" w:color="auto" w:fill="auto"/>
          </w:tcPr>
          <w:p w:rsidR="0050122F" w:rsidRPr="005F36B9" w:rsidRDefault="00E616ED" w:rsidP="0050122F">
            <w:pPr>
              <w:widowControl/>
              <w:jc w:val="center"/>
              <w:rPr>
                <w:b/>
                <w:spacing w:val="-4"/>
                <w:vertAlign w:val="superscript"/>
                <w:lang w:val="ru-RU"/>
              </w:rPr>
            </w:pPr>
            <w:r w:rsidRPr="005F36B9">
              <w:rPr>
                <w:b/>
                <w:spacing w:val="-4"/>
                <w:lang w:val="kk-KZ"/>
              </w:rPr>
              <w:t xml:space="preserve">Трастузумаб </w:t>
            </w:r>
            <w:r w:rsidR="0050122F" w:rsidRPr="005F36B9">
              <w:rPr>
                <w:b/>
                <w:spacing w:val="-4"/>
                <w:vertAlign w:val="superscript"/>
                <w:lang w:val="kk-KZ"/>
              </w:rPr>
              <w:t>1</w:t>
            </w:r>
          </w:p>
          <w:p w:rsidR="0050122F" w:rsidRPr="005F36B9" w:rsidRDefault="0050122F" w:rsidP="0050122F">
            <w:pPr>
              <w:widowControl/>
              <w:jc w:val="center"/>
              <w:rPr>
                <w:b/>
                <w:spacing w:val="-4"/>
                <w:lang w:val="ru-RU"/>
              </w:rPr>
            </w:pPr>
          </w:p>
          <w:p w:rsidR="0050122F" w:rsidRPr="005F36B9" w:rsidRDefault="0050122F" w:rsidP="0050122F">
            <w:pPr>
              <w:widowControl/>
              <w:jc w:val="center"/>
              <w:rPr>
                <w:b/>
                <w:spacing w:val="-4"/>
                <w:lang w:val="ru-RU"/>
              </w:rPr>
            </w:pPr>
          </w:p>
          <w:p w:rsidR="0050122F" w:rsidRPr="005F36B9" w:rsidRDefault="0050122F" w:rsidP="0050122F">
            <w:pPr>
              <w:widowControl/>
              <w:jc w:val="center"/>
              <w:rPr>
                <w:b/>
                <w:spacing w:val="-4"/>
                <w:lang w:val="ru-RU"/>
              </w:rPr>
            </w:pPr>
          </w:p>
          <w:p w:rsidR="0050122F" w:rsidRPr="005F36B9" w:rsidRDefault="0050122F" w:rsidP="0050122F">
            <w:pPr>
              <w:widowControl/>
              <w:jc w:val="center"/>
              <w:rPr>
                <w:spacing w:val="-4"/>
                <w:lang w:val="ru-RU"/>
              </w:rPr>
            </w:pPr>
            <w:r w:rsidRPr="005F36B9">
              <w:rPr>
                <w:b/>
                <w:spacing w:val="-4"/>
                <w:lang w:val="kk-KZ"/>
              </w:rPr>
              <w:t>N=172</w:t>
            </w:r>
          </w:p>
        </w:tc>
        <w:tc>
          <w:tcPr>
            <w:tcW w:w="1559" w:type="dxa"/>
            <w:shd w:val="clear" w:color="auto" w:fill="auto"/>
          </w:tcPr>
          <w:p w:rsidR="0050122F" w:rsidRPr="005F36B9" w:rsidRDefault="00E616ED" w:rsidP="0050122F">
            <w:pPr>
              <w:widowControl/>
              <w:jc w:val="center"/>
              <w:rPr>
                <w:b/>
                <w:spacing w:val="-4"/>
                <w:lang w:val="ru-RU"/>
              </w:rPr>
            </w:pPr>
            <w:r w:rsidRPr="005F36B9">
              <w:rPr>
                <w:b/>
                <w:spacing w:val="-4"/>
                <w:lang w:val="kk-KZ"/>
              </w:rPr>
              <w:t>Трастузумаб</w:t>
            </w:r>
            <w:r w:rsidR="0050122F" w:rsidRPr="005F36B9">
              <w:rPr>
                <w:b/>
                <w:spacing w:val="-4"/>
                <w:lang w:val="kk-KZ"/>
              </w:rPr>
              <w:t xml:space="preserve"> плюс паклитаксел</w:t>
            </w:r>
            <w:r w:rsidR="0050122F" w:rsidRPr="005F36B9">
              <w:rPr>
                <w:b/>
                <w:spacing w:val="-4"/>
                <w:vertAlign w:val="superscript"/>
                <w:lang w:val="kk-KZ"/>
              </w:rPr>
              <w:t>2</w:t>
            </w:r>
          </w:p>
          <w:p w:rsidR="0050122F" w:rsidRPr="005F36B9" w:rsidRDefault="0050122F" w:rsidP="0050122F">
            <w:pPr>
              <w:widowControl/>
              <w:jc w:val="center"/>
              <w:rPr>
                <w:b/>
                <w:spacing w:val="-4"/>
                <w:lang w:val="ru-RU"/>
              </w:rPr>
            </w:pPr>
            <w:r w:rsidRPr="005F36B9">
              <w:rPr>
                <w:b/>
                <w:spacing w:val="-4"/>
                <w:lang w:val="kk-KZ"/>
              </w:rPr>
              <w:t>N=68</w:t>
            </w:r>
          </w:p>
        </w:tc>
        <w:tc>
          <w:tcPr>
            <w:tcW w:w="1418" w:type="dxa"/>
            <w:shd w:val="clear" w:color="auto" w:fill="auto"/>
          </w:tcPr>
          <w:p w:rsidR="0050122F" w:rsidRPr="005F36B9" w:rsidRDefault="0050122F" w:rsidP="0050122F">
            <w:pPr>
              <w:widowControl/>
              <w:jc w:val="center"/>
              <w:rPr>
                <w:b/>
                <w:spacing w:val="-4"/>
                <w:lang w:val="ru-RU"/>
              </w:rPr>
            </w:pPr>
            <w:r w:rsidRPr="005F36B9">
              <w:rPr>
                <w:b/>
                <w:spacing w:val="-4"/>
                <w:lang w:val="kk-KZ"/>
              </w:rPr>
              <w:t>Паклитаксел</w:t>
            </w:r>
            <w:r w:rsidRPr="005F36B9">
              <w:rPr>
                <w:b/>
                <w:spacing w:val="-4"/>
                <w:vertAlign w:val="superscript"/>
                <w:lang w:val="kk-KZ"/>
              </w:rPr>
              <w:t>2</w:t>
            </w:r>
          </w:p>
          <w:p w:rsidR="0050122F" w:rsidRPr="005F36B9" w:rsidRDefault="0050122F" w:rsidP="0050122F">
            <w:pPr>
              <w:widowControl/>
              <w:jc w:val="center"/>
              <w:rPr>
                <w:b/>
                <w:spacing w:val="-4"/>
                <w:lang w:val="ru-RU"/>
              </w:rPr>
            </w:pPr>
          </w:p>
          <w:p w:rsidR="0050122F" w:rsidRPr="005F36B9" w:rsidRDefault="0050122F" w:rsidP="0050122F">
            <w:pPr>
              <w:widowControl/>
              <w:jc w:val="center"/>
              <w:rPr>
                <w:b/>
                <w:spacing w:val="-4"/>
                <w:lang w:val="ru-RU"/>
              </w:rPr>
            </w:pPr>
          </w:p>
          <w:p w:rsidR="0050122F" w:rsidRPr="005F36B9" w:rsidRDefault="0050122F" w:rsidP="0050122F">
            <w:pPr>
              <w:widowControl/>
              <w:jc w:val="center"/>
              <w:rPr>
                <w:b/>
                <w:spacing w:val="-4"/>
                <w:lang w:val="ru-RU"/>
              </w:rPr>
            </w:pPr>
            <w:r w:rsidRPr="005F36B9">
              <w:rPr>
                <w:b/>
                <w:spacing w:val="-4"/>
                <w:lang w:val="kk-KZ"/>
              </w:rPr>
              <w:t>N=77</w:t>
            </w:r>
          </w:p>
        </w:tc>
        <w:tc>
          <w:tcPr>
            <w:tcW w:w="1417" w:type="dxa"/>
            <w:shd w:val="clear" w:color="auto" w:fill="auto"/>
          </w:tcPr>
          <w:p w:rsidR="0050122F" w:rsidRPr="005F36B9" w:rsidRDefault="00E616ED" w:rsidP="0050122F">
            <w:pPr>
              <w:widowControl/>
              <w:jc w:val="center"/>
              <w:rPr>
                <w:b/>
                <w:spacing w:val="-4"/>
                <w:lang w:val="ru-RU"/>
              </w:rPr>
            </w:pPr>
            <w:r w:rsidRPr="005F36B9">
              <w:rPr>
                <w:b/>
                <w:spacing w:val="-4"/>
                <w:lang w:val="kk-KZ"/>
              </w:rPr>
              <w:t>Трастузумаб</w:t>
            </w:r>
            <w:r w:rsidR="0050122F" w:rsidRPr="005F36B9">
              <w:rPr>
                <w:b/>
                <w:spacing w:val="-4"/>
                <w:lang w:val="kk-KZ"/>
              </w:rPr>
              <w:t xml:space="preserve"> плюс доцетаксел</w:t>
            </w:r>
            <w:r w:rsidR="0050122F" w:rsidRPr="005F36B9">
              <w:rPr>
                <w:b/>
                <w:spacing w:val="-4"/>
                <w:vertAlign w:val="superscript"/>
                <w:lang w:val="kk-KZ"/>
              </w:rPr>
              <w:t>3</w:t>
            </w:r>
          </w:p>
          <w:p w:rsidR="0050122F" w:rsidRPr="005F36B9" w:rsidRDefault="0050122F" w:rsidP="0050122F">
            <w:pPr>
              <w:widowControl/>
              <w:jc w:val="center"/>
              <w:rPr>
                <w:b/>
                <w:spacing w:val="-4"/>
                <w:lang w:val="ru-RU"/>
              </w:rPr>
            </w:pPr>
            <w:r w:rsidRPr="005F36B9">
              <w:rPr>
                <w:b/>
                <w:spacing w:val="-4"/>
                <w:lang w:val="kk-KZ"/>
              </w:rPr>
              <w:t>N=92</w:t>
            </w:r>
          </w:p>
        </w:tc>
        <w:tc>
          <w:tcPr>
            <w:tcW w:w="1559" w:type="dxa"/>
            <w:shd w:val="clear" w:color="auto" w:fill="auto"/>
          </w:tcPr>
          <w:p w:rsidR="0050122F" w:rsidRPr="005F36B9" w:rsidRDefault="0050122F" w:rsidP="0050122F">
            <w:pPr>
              <w:widowControl/>
              <w:jc w:val="center"/>
              <w:rPr>
                <w:b/>
                <w:spacing w:val="-4"/>
                <w:lang w:val="ru-RU"/>
              </w:rPr>
            </w:pPr>
            <w:r w:rsidRPr="005F36B9">
              <w:rPr>
                <w:b/>
                <w:spacing w:val="-4"/>
                <w:lang w:val="kk-KZ"/>
              </w:rPr>
              <w:t>Доцетаксел</w:t>
            </w:r>
            <w:r w:rsidRPr="005F36B9">
              <w:rPr>
                <w:b/>
                <w:spacing w:val="-4"/>
                <w:vertAlign w:val="superscript"/>
                <w:lang w:val="kk-KZ"/>
              </w:rPr>
              <w:t>3</w:t>
            </w:r>
          </w:p>
          <w:p w:rsidR="0050122F" w:rsidRPr="005F36B9" w:rsidRDefault="0050122F" w:rsidP="0050122F">
            <w:pPr>
              <w:widowControl/>
              <w:jc w:val="center"/>
              <w:rPr>
                <w:b/>
                <w:spacing w:val="-4"/>
                <w:lang w:val="ru-RU"/>
              </w:rPr>
            </w:pPr>
          </w:p>
          <w:p w:rsidR="0050122F" w:rsidRPr="005F36B9" w:rsidRDefault="0050122F" w:rsidP="0050122F">
            <w:pPr>
              <w:widowControl/>
              <w:jc w:val="center"/>
              <w:rPr>
                <w:b/>
                <w:spacing w:val="-4"/>
                <w:lang w:val="ru-RU"/>
              </w:rPr>
            </w:pPr>
          </w:p>
          <w:p w:rsidR="0050122F" w:rsidRPr="005F36B9" w:rsidRDefault="0050122F" w:rsidP="0050122F">
            <w:pPr>
              <w:widowControl/>
              <w:jc w:val="center"/>
              <w:rPr>
                <w:b/>
                <w:spacing w:val="-4"/>
                <w:lang w:val="ru-RU"/>
              </w:rPr>
            </w:pPr>
          </w:p>
          <w:p w:rsidR="0050122F" w:rsidRPr="005F36B9" w:rsidRDefault="0050122F" w:rsidP="0050122F">
            <w:pPr>
              <w:pStyle w:val="Default"/>
              <w:jc w:val="center"/>
              <w:rPr>
                <w:b/>
                <w:color w:val="auto"/>
                <w:spacing w:val="-4"/>
              </w:rPr>
            </w:pPr>
            <w:r w:rsidRPr="005F36B9">
              <w:rPr>
                <w:b/>
                <w:color w:val="auto"/>
                <w:spacing w:val="-4"/>
                <w:lang w:val="kk-KZ"/>
              </w:rPr>
              <w:t>N=94</w:t>
            </w:r>
          </w:p>
        </w:tc>
      </w:tr>
      <w:tr w:rsidR="0050122F" w:rsidRPr="005F36B9" w:rsidTr="0050122F">
        <w:trPr>
          <w:trHeight w:val="932"/>
        </w:trPr>
        <w:tc>
          <w:tcPr>
            <w:tcW w:w="1418" w:type="dxa"/>
            <w:shd w:val="clear" w:color="auto" w:fill="auto"/>
          </w:tcPr>
          <w:p w:rsidR="0050122F" w:rsidRPr="005F36B9" w:rsidRDefault="0050122F" w:rsidP="0050122F">
            <w:pPr>
              <w:widowControl/>
              <w:rPr>
                <w:b/>
                <w:spacing w:val="-4"/>
                <w:lang w:val="ru-RU"/>
              </w:rPr>
            </w:pPr>
            <w:r w:rsidRPr="005F36B9">
              <w:rPr>
                <w:b/>
                <w:spacing w:val="-4"/>
                <w:lang w:val="kk-KZ"/>
              </w:rPr>
              <w:t xml:space="preserve">Жауап жиілігі (95% СА) </w:t>
            </w:r>
          </w:p>
        </w:tc>
        <w:tc>
          <w:tcPr>
            <w:tcW w:w="1701" w:type="dxa"/>
            <w:shd w:val="clear" w:color="auto" w:fill="auto"/>
          </w:tcPr>
          <w:p w:rsidR="0050122F" w:rsidRPr="005F36B9" w:rsidRDefault="0050122F" w:rsidP="0050122F">
            <w:pPr>
              <w:widowControl/>
              <w:jc w:val="center"/>
              <w:rPr>
                <w:spacing w:val="-4"/>
                <w:lang w:val="ru-RU"/>
              </w:rPr>
            </w:pPr>
            <w:r w:rsidRPr="005F36B9">
              <w:rPr>
                <w:spacing w:val="-4"/>
                <w:lang w:val="kk-KZ"/>
              </w:rPr>
              <w:t>18%</w:t>
            </w:r>
          </w:p>
          <w:p w:rsidR="0050122F" w:rsidRPr="005F36B9" w:rsidRDefault="0050122F" w:rsidP="0050122F">
            <w:pPr>
              <w:widowControl/>
              <w:jc w:val="center"/>
              <w:rPr>
                <w:spacing w:val="-4"/>
                <w:lang w:val="ru-RU"/>
              </w:rPr>
            </w:pPr>
            <w:r w:rsidRPr="005F36B9">
              <w:rPr>
                <w:spacing w:val="-4"/>
                <w:lang w:val="kk-KZ"/>
              </w:rPr>
              <w:t>(13-25)</w:t>
            </w:r>
          </w:p>
        </w:tc>
        <w:tc>
          <w:tcPr>
            <w:tcW w:w="1559" w:type="dxa"/>
            <w:shd w:val="clear" w:color="auto" w:fill="auto"/>
          </w:tcPr>
          <w:p w:rsidR="0050122F" w:rsidRPr="005F36B9" w:rsidRDefault="0050122F" w:rsidP="0050122F">
            <w:pPr>
              <w:widowControl/>
              <w:jc w:val="center"/>
              <w:rPr>
                <w:spacing w:val="-4"/>
                <w:lang w:val="ru-RU"/>
              </w:rPr>
            </w:pPr>
            <w:r w:rsidRPr="005F36B9">
              <w:rPr>
                <w:spacing w:val="-4"/>
                <w:lang w:val="kk-KZ"/>
              </w:rPr>
              <w:t>49%</w:t>
            </w:r>
          </w:p>
          <w:p w:rsidR="0050122F" w:rsidRPr="005F36B9" w:rsidRDefault="0050122F" w:rsidP="0050122F">
            <w:pPr>
              <w:widowControl/>
              <w:jc w:val="center"/>
              <w:rPr>
                <w:spacing w:val="-4"/>
                <w:lang w:val="ru-RU"/>
              </w:rPr>
            </w:pPr>
            <w:r w:rsidRPr="005F36B9">
              <w:rPr>
                <w:spacing w:val="-4"/>
                <w:lang w:val="kk-KZ"/>
              </w:rPr>
              <w:t>(36- 61)</w:t>
            </w:r>
          </w:p>
        </w:tc>
        <w:tc>
          <w:tcPr>
            <w:tcW w:w="1418" w:type="dxa"/>
            <w:shd w:val="clear" w:color="auto" w:fill="auto"/>
          </w:tcPr>
          <w:p w:rsidR="0050122F" w:rsidRPr="005F36B9" w:rsidRDefault="0050122F" w:rsidP="0050122F">
            <w:pPr>
              <w:widowControl/>
              <w:jc w:val="center"/>
              <w:rPr>
                <w:spacing w:val="-4"/>
                <w:lang w:val="ru-RU"/>
              </w:rPr>
            </w:pPr>
            <w:r w:rsidRPr="005F36B9">
              <w:rPr>
                <w:spacing w:val="-4"/>
                <w:lang w:val="kk-KZ"/>
              </w:rPr>
              <w:t>17%</w:t>
            </w:r>
          </w:p>
          <w:p w:rsidR="0050122F" w:rsidRPr="005F36B9" w:rsidRDefault="0050122F" w:rsidP="0050122F">
            <w:pPr>
              <w:widowControl/>
              <w:jc w:val="center"/>
              <w:rPr>
                <w:spacing w:val="-4"/>
                <w:lang w:val="ru-RU"/>
              </w:rPr>
            </w:pPr>
            <w:r w:rsidRPr="005F36B9">
              <w:rPr>
                <w:spacing w:val="-4"/>
                <w:lang w:val="kk-KZ"/>
              </w:rPr>
              <w:t>(9-27)</w:t>
            </w:r>
          </w:p>
        </w:tc>
        <w:tc>
          <w:tcPr>
            <w:tcW w:w="1417" w:type="dxa"/>
            <w:shd w:val="clear" w:color="auto" w:fill="auto"/>
          </w:tcPr>
          <w:p w:rsidR="0050122F" w:rsidRPr="005F36B9" w:rsidRDefault="0050122F" w:rsidP="0050122F">
            <w:pPr>
              <w:widowControl/>
              <w:jc w:val="center"/>
              <w:rPr>
                <w:spacing w:val="-4"/>
                <w:lang w:val="ru-RU"/>
              </w:rPr>
            </w:pPr>
            <w:r w:rsidRPr="005F36B9">
              <w:rPr>
                <w:spacing w:val="-4"/>
                <w:lang w:val="kk-KZ"/>
              </w:rPr>
              <w:t>61%</w:t>
            </w:r>
          </w:p>
          <w:p w:rsidR="0050122F" w:rsidRPr="005F36B9" w:rsidRDefault="0050122F" w:rsidP="0050122F">
            <w:pPr>
              <w:widowControl/>
              <w:jc w:val="center"/>
              <w:rPr>
                <w:spacing w:val="-4"/>
                <w:lang w:val="ru-RU"/>
              </w:rPr>
            </w:pPr>
            <w:r w:rsidRPr="005F36B9">
              <w:rPr>
                <w:spacing w:val="-4"/>
                <w:lang w:val="kk-KZ"/>
              </w:rPr>
              <w:t>(50-71)</w:t>
            </w:r>
          </w:p>
        </w:tc>
        <w:tc>
          <w:tcPr>
            <w:tcW w:w="1559" w:type="dxa"/>
            <w:shd w:val="clear" w:color="auto" w:fill="auto"/>
          </w:tcPr>
          <w:p w:rsidR="0050122F" w:rsidRPr="005F36B9" w:rsidRDefault="0050122F" w:rsidP="0050122F">
            <w:pPr>
              <w:widowControl/>
              <w:jc w:val="center"/>
              <w:rPr>
                <w:spacing w:val="-4"/>
                <w:lang w:val="ru-RU"/>
              </w:rPr>
            </w:pPr>
            <w:r w:rsidRPr="005F36B9">
              <w:rPr>
                <w:spacing w:val="-4"/>
                <w:lang w:val="kk-KZ"/>
              </w:rPr>
              <w:t>34%</w:t>
            </w:r>
          </w:p>
          <w:p w:rsidR="0050122F" w:rsidRPr="005F36B9" w:rsidRDefault="0050122F" w:rsidP="0050122F">
            <w:pPr>
              <w:widowControl/>
              <w:jc w:val="center"/>
              <w:rPr>
                <w:spacing w:val="-4"/>
                <w:lang w:val="ru-RU"/>
              </w:rPr>
            </w:pPr>
            <w:r w:rsidRPr="005F36B9">
              <w:rPr>
                <w:spacing w:val="-4"/>
                <w:lang w:val="kk-KZ"/>
              </w:rPr>
              <w:t>(25-45)</w:t>
            </w:r>
          </w:p>
        </w:tc>
      </w:tr>
      <w:tr w:rsidR="0050122F" w:rsidRPr="005F36B9" w:rsidTr="0050122F">
        <w:trPr>
          <w:trHeight w:val="1731"/>
        </w:trPr>
        <w:tc>
          <w:tcPr>
            <w:tcW w:w="1418" w:type="dxa"/>
            <w:shd w:val="clear" w:color="auto" w:fill="auto"/>
          </w:tcPr>
          <w:p w:rsidR="0050122F" w:rsidRPr="005F36B9" w:rsidRDefault="0050122F" w:rsidP="0050122F">
            <w:pPr>
              <w:widowControl/>
              <w:rPr>
                <w:b/>
                <w:spacing w:val="-4"/>
              </w:rPr>
            </w:pPr>
            <w:r w:rsidRPr="005F36B9">
              <w:rPr>
                <w:b/>
                <w:spacing w:val="-4"/>
                <w:lang w:val="kk-KZ"/>
              </w:rPr>
              <w:t xml:space="preserve">Жауап беру ұзақтығының медианасы (айлар) </w:t>
            </w:r>
          </w:p>
          <w:p w:rsidR="0050122F" w:rsidRPr="005F36B9" w:rsidRDefault="0050122F" w:rsidP="0050122F">
            <w:pPr>
              <w:widowControl/>
              <w:rPr>
                <w:b/>
                <w:spacing w:val="-4"/>
                <w:lang w:val="ru-RU"/>
              </w:rPr>
            </w:pPr>
            <w:r w:rsidRPr="005F36B9">
              <w:rPr>
                <w:b/>
                <w:spacing w:val="-4"/>
                <w:lang w:val="kk-KZ"/>
              </w:rPr>
              <w:t xml:space="preserve">(95% СА) </w:t>
            </w:r>
          </w:p>
        </w:tc>
        <w:tc>
          <w:tcPr>
            <w:tcW w:w="1701" w:type="dxa"/>
            <w:shd w:val="clear" w:color="auto" w:fill="auto"/>
          </w:tcPr>
          <w:p w:rsidR="0050122F" w:rsidRPr="005F36B9" w:rsidRDefault="0050122F" w:rsidP="0050122F">
            <w:pPr>
              <w:widowControl/>
              <w:jc w:val="center"/>
              <w:rPr>
                <w:spacing w:val="-4"/>
                <w:lang w:val="ru-RU"/>
              </w:rPr>
            </w:pPr>
            <w:r w:rsidRPr="005F36B9">
              <w:rPr>
                <w:spacing w:val="-4"/>
                <w:lang w:val="kk-KZ"/>
              </w:rPr>
              <w:t>9.1</w:t>
            </w:r>
          </w:p>
          <w:p w:rsidR="0050122F" w:rsidRPr="005F36B9" w:rsidRDefault="0050122F" w:rsidP="0050122F">
            <w:pPr>
              <w:widowControl/>
              <w:jc w:val="center"/>
              <w:rPr>
                <w:spacing w:val="-4"/>
                <w:lang w:val="ru-RU"/>
              </w:rPr>
            </w:pPr>
            <w:r w:rsidRPr="005F36B9">
              <w:rPr>
                <w:spacing w:val="-4"/>
                <w:lang w:val="kk-KZ"/>
              </w:rPr>
              <w:t>(5.6-10.3)</w:t>
            </w:r>
          </w:p>
        </w:tc>
        <w:tc>
          <w:tcPr>
            <w:tcW w:w="1559" w:type="dxa"/>
            <w:shd w:val="clear" w:color="auto" w:fill="auto"/>
          </w:tcPr>
          <w:p w:rsidR="0050122F" w:rsidRPr="005F36B9" w:rsidRDefault="0050122F" w:rsidP="0050122F">
            <w:pPr>
              <w:widowControl/>
              <w:jc w:val="center"/>
              <w:rPr>
                <w:spacing w:val="-4"/>
                <w:lang w:val="ru-RU"/>
              </w:rPr>
            </w:pPr>
            <w:r w:rsidRPr="005F36B9">
              <w:rPr>
                <w:spacing w:val="-4"/>
                <w:lang w:val="kk-KZ"/>
              </w:rPr>
              <w:t>8.3</w:t>
            </w:r>
          </w:p>
          <w:p w:rsidR="0050122F" w:rsidRPr="005F36B9" w:rsidRDefault="0050122F" w:rsidP="0050122F">
            <w:pPr>
              <w:widowControl/>
              <w:jc w:val="center"/>
              <w:rPr>
                <w:spacing w:val="-4"/>
                <w:lang w:val="ru-RU"/>
              </w:rPr>
            </w:pPr>
            <w:r w:rsidRPr="005F36B9">
              <w:rPr>
                <w:spacing w:val="-4"/>
                <w:lang w:val="kk-KZ"/>
              </w:rPr>
              <w:t>(7.3-8.8)</w:t>
            </w:r>
          </w:p>
        </w:tc>
        <w:tc>
          <w:tcPr>
            <w:tcW w:w="1418" w:type="dxa"/>
            <w:shd w:val="clear" w:color="auto" w:fill="auto"/>
          </w:tcPr>
          <w:p w:rsidR="0050122F" w:rsidRPr="005F36B9" w:rsidRDefault="0050122F" w:rsidP="0050122F">
            <w:pPr>
              <w:widowControl/>
              <w:jc w:val="center"/>
              <w:rPr>
                <w:spacing w:val="-4"/>
                <w:lang w:val="ru-RU"/>
              </w:rPr>
            </w:pPr>
            <w:r w:rsidRPr="005F36B9">
              <w:rPr>
                <w:spacing w:val="-4"/>
                <w:lang w:val="kk-KZ"/>
              </w:rPr>
              <w:t>4.6</w:t>
            </w:r>
          </w:p>
          <w:p w:rsidR="0050122F" w:rsidRPr="005F36B9" w:rsidRDefault="0050122F" w:rsidP="0050122F">
            <w:pPr>
              <w:widowControl/>
              <w:jc w:val="center"/>
              <w:rPr>
                <w:spacing w:val="-4"/>
                <w:lang w:val="ru-RU"/>
              </w:rPr>
            </w:pPr>
            <w:r w:rsidRPr="005F36B9">
              <w:rPr>
                <w:spacing w:val="-4"/>
                <w:lang w:val="kk-KZ"/>
              </w:rPr>
              <w:t>(3.7-7.4)</w:t>
            </w:r>
          </w:p>
        </w:tc>
        <w:tc>
          <w:tcPr>
            <w:tcW w:w="1417" w:type="dxa"/>
            <w:shd w:val="clear" w:color="auto" w:fill="auto"/>
          </w:tcPr>
          <w:p w:rsidR="0050122F" w:rsidRPr="005F36B9" w:rsidRDefault="0050122F" w:rsidP="0050122F">
            <w:pPr>
              <w:widowControl/>
              <w:jc w:val="center"/>
              <w:rPr>
                <w:spacing w:val="-4"/>
                <w:lang w:val="ru-RU"/>
              </w:rPr>
            </w:pPr>
            <w:r w:rsidRPr="005F36B9">
              <w:rPr>
                <w:spacing w:val="-4"/>
                <w:lang w:val="kk-KZ"/>
              </w:rPr>
              <w:t>11.7</w:t>
            </w:r>
          </w:p>
          <w:p w:rsidR="0050122F" w:rsidRPr="005F36B9" w:rsidRDefault="0050122F" w:rsidP="0050122F">
            <w:pPr>
              <w:widowControl/>
              <w:jc w:val="center"/>
              <w:rPr>
                <w:spacing w:val="-4"/>
                <w:lang w:val="ru-RU"/>
              </w:rPr>
            </w:pPr>
            <w:r w:rsidRPr="005F36B9">
              <w:rPr>
                <w:spacing w:val="-4"/>
                <w:lang w:val="kk-KZ"/>
              </w:rPr>
              <w:t>(9.3-15.0)</w:t>
            </w:r>
          </w:p>
        </w:tc>
        <w:tc>
          <w:tcPr>
            <w:tcW w:w="1559" w:type="dxa"/>
            <w:shd w:val="clear" w:color="auto" w:fill="auto"/>
          </w:tcPr>
          <w:p w:rsidR="0050122F" w:rsidRPr="005F36B9" w:rsidRDefault="0050122F" w:rsidP="0050122F">
            <w:pPr>
              <w:widowControl/>
              <w:jc w:val="center"/>
              <w:rPr>
                <w:spacing w:val="-4"/>
                <w:lang w:val="ru-RU"/>
              </w:rPr>
            </w:pPr>
            <w:r w:rsidRPr="005F36B9">
              <w:rPr>
                <w:spacing w:val="-4"/>
                <w:lang w:val="kk-KZ"/>
              </w:rPr>
              <w:t>5.7</w:t>
            </w:r>
          </w:p>
          <w:p w:rsidR="0050122F" w:rsidRPr="005F36B9" w:rsidRDefault="0050122F" w:rsidP="0050122F">
            <w:pPr>
              <w:widowControl/>
              <w:jc w:val="center"/>
              <w:rPr>
                <w:spacing w:val="-4"/>
                <w:lang w:val="ru-RU"/>
              </w:rPr>
            </w:pPr>
            <w:r w:rsidRPr="005F36B9">
              <w:rPr>
                <w:spacing w:val="-4"/>
                <w:lang w:val="kk-KZ"/>
              </w:rPr>
              <w:t>(4.6-7.6)</w:t>
            </w:r>
          </w:p>
        </w:tc>
      </w:tr>
      <w:tr w:rsidR="0050122F" w:rsidRPr="005F36B9" w:rsidTr="0050122F">
        <w:trPr>
          <w:trHeight w:val="1162"/>
        </w:trPr>
        <w:tc>
          <w:tcPr>
            <w:tcW w:w="1418" w:type="dxa"/>
            <w:shd w:val="clear" w:color="auto" w:fill="auto"/>
          </w:tcPr>
          <w:p w:rsidR="0050122F" w:rsidRPr="005F36B9" w:rsidRDefault="0050122F" w:rsidP="0050122F">
            <w:pPr>
              <w:widowControl/>
              <w:rPr>
                <w:b/>
                <w:spacing w:val="-4"/>
                <w:lang w:val="ru-RU"/>
              </w:rPr>
            </w:pPr>
            <w:r w:rsidRPr="005F36B9">
              <w:rPr>
                <w:b/>
                <w:spacing w:val="-4"/>
                <w:lang w:val="kk-KZ"/>
              </w:rPr>
              <w:t xml:space="preserve">TTP медианасы (айлар) </w:t>
            </w:r>
          </w:p>
          <w:p w:rsidR="0050122F" w:rsidRPr="005F36B9" w:rsidRDefault="0050122F" w:rsidP="0050122F">
            <w:pPr>
              <w:widowControl/>
              <w:rPr>
                <w:b/>
                <w:spacing w:val="-4"/>
                <w:lang w:val="ru-RU"/>
              </w:rPr>
            </w:pPr>
            <w:r w:rsidRPr="005F36B9">
              <w:rPr>
                <w:b/>
                <w:spacing w:val="-4"/>
                <w:lang w:val="kk-KZ"/>
              </w:rPr>
              <w:t>(95% СА)</w:t>
            </w:r>
          </w:p>
        </w:tc>
        <w:tc>
          <w:tcPr>
            <w:tcW w:w="1701" w:type="dxa"/>
            <w:shd w:val="clear" w:color="auto" w:fill="auto"/>
          </w:tcPr>
          <w:p w:rsidR="0050122F" w:rsidRPr="005F36B9" w:rsidRDefault="0050122F" w:rsidP="0050122F">
            <w:pPr>
              <w:widowControl/>
              <w:jc w:val="center"/>
              <w:rPr>
                <w:spacing w:val="-4"/>
                <w:lang w:val="ru-RU"/>
              </w:rPr>
            </w:pPr>
            <w:r w:rsidRPr="005F36B9">
              <w:rPr>
                <w:spacing w:val="-4"/>
                <w:lang w:val="kk-KZ"/>
              </w:rPr>
              <w:t>3.2</w:t>
            </w:r>
          </w:p>
          <w:p w:rsidR="0050122F" w:rsidRPr="005F36B9" w:rsidRDefault="0050122F" w:rsidP="0050122F">
            <w:pPr>
              <w:widowControl/>
              <w:jc w:val="center"/>
              <w:rPr>
                <w:spacing w:val="-4"/>
                <w:lang w:val="ru-RU"/>
              </w:rPr>
            </w:pPr>
            <w:r w:rsidRPr="005F36B9">
              <w:rPr>
                <w:spacing w:val="-4"/>
                <w:lang w:val="kk-KZ"/>
              </w:rPr>
              <w:t>(2.6-3.5)</w:t>
            </w:r>
          </w:p>
        </w:tc>
        <w:tc>
          <w:tcPr>
            <w:tcW w:w="1559" w:type="dxa"/>
            <w:shd w:val="clear" w:color="auto" w:fill="auto"/>
          </w:tcPr>
          <w:p w:rsidR="0050122F" w:rsidRPr="005F36B9" w:rsidRDefault="0050122F" w:rsidP="0050122F">
            <w:pPr>
              <w:widowControl/>
              <w:jc w:val="center"/>
              <w:rPr>
                <w:spacing w:val="-4"/>
                <w:lang w:val="ru-RU"/>
              </w:rPr>
            </w:pPr>
            <w:r w:rsidRPr="005F36B9">
              <w:rPr>
                <w:spacing w:val="-4"/>
                <w:lang w:val="kk-KZ"/>
              </w:rPr>
              <w:t>7.1</w:t>
            </w:r>
          </w:p>
          <w:p w:rsidR="0050122F" w:rsidRPr="005F36B9" w:rsidRDefault="0050122F" w:rsidP="0050122F">
            <w:pPr>
              <w:widowControl/>
              <w:jc w:val="center"/>
              <w:rPr>
                <w:spacing w:val="-4"/>
                <w:lang w:val="ru-RU"/>
              </w:rPr>
            </w:pPr>
            <w:r w:rsidRPr="005F36B9">
              <w:rPr>
                <w:spacing w:val="-4"/>
                <w:lang w:val="kk-KZ"/>
              </w:rPr>
              <w:t>(6.2-12.0)</w:t>
            </w:r>
          </w:p>
        </w:tc>
        <w:tc>
          <w:tcPr>
            <w:tcW w:w="1418" w:type="dxa"/>
            <w:shd w:val="clear" w:color="auto" w:fill="auto"/>
          </w:tcPr>
          <w:p w:rsidR="0050122F" w:rsidRPr="005F36B9" w:rsidRDefault="0050122F" w:rsidP="0050122F">
            <w:pPr>
              <w:widowControl/>
              <w:jc w:val="center"/>
              <w:rPr>
                <w:spacing w:val="-4"/>
                <w:lang w:val="ru-RU"/>
              </w:rPr>
            </w:pPr>
            <w:r w:rsidRPr="005F36B9">
              <w:rPr>
                <w:spacing w:val="-4"/>
                <w:lang w:val="kk-KZ"/>
              </w:rPr>
              <w:t>3.0</w:t>
            </w:r>
          </w:p>
          <w:p w:rsidR="0050122F" w:rsidRPr="005F36B9" w:rsidRDefault="0050122F" w:rsidP="0050122F">
            <w:pPr>
              <w:widowControl/>
              <w:jc w:val="center"/>
              <w:rPr>
                <w:spacing w:val="-4"/>
                <w:lang w:val="ru-RU"/>
              </w:rPr>
            </w:pPr>
            <w:r w:rsidRPr="005F36B9">
              <w:rPr>
                <w:spacing w:val="-4"/>
                <w:lang w:val="kk-KZ"/>
              </w:rPr>
              <w:t>(2.0-4.4)</w:t>
            </w:r>
          </w:p>
        </w:tc>
        <w:tc>
          <w:tcPr>
            <w:tcW w:w="1417" w:type="dxa"/>
            <w:shd w:val="clear" w:color="auto" w:fill="auto"/>
          </w:tcPr>
          <w:p w:rsidR="0050122F" w:rsidRPr="005F36B9" w:rsidRDefault="0050122F" w:rsidP="0050122F">
            <w:pPr>
              <w:widowControl/>
              <w:jc w:val="center"/>
              <w:rPr>
                <w:spacing w:val="-4"/>
                <w:lang w:val="ru-RU"/>
              </w:rPr>
            </w:pPr>
            <w:r w:rsidRPr="005F36B9">
              <w:rPr>
                <w:spacing w:val="-4"/>
                <w:lang w:val="kk-KZ"/>
              </w:rPr>
              <w:t>11.7</w:t>
            </w:r>
          </w:p>
          <w:p w:rsidR="0050122F" w:rsidRPr="005F36B9" w:rsidRDefault="0050122F" w:rsidP="0050122F">
            <w:pPr>
              <w:widowControl/>
              <w:jc w:val="center"/>
              <w:rPr>
                <w:spacing w:val="-4"/>
                <w:lang w:val="ru-RU"/>
              </w:rPr>
            </w:pPr>
            <w:r w:rsidRPr="005F36B9">
              <w:rPr>
                <w:spacing w:val="-4"/>
                <w:lang w:val="kk-KZ"/>
              </w:rPr>
              <w:t>(9.2-13.5)</w:t>
            </w:r>
          </w:p>
        </w:tc>
        <w:tc>
          <w:tcPr>
            <w:tcW w:w="1559" w:type="dxa"/>
            <w:shd w:val="clear" w:color="auto" w:fill="auto"/>
          </w:tcPr>
          <w:p w:rsidR="0050122F" w:rsidRPr="005F36B9" w:rsidRDefault="0050122F" w:rsidP="0050122F">
            <w:pPr>
              <w:widowControl/>
              <w:jc w:val="center"/>
              <w:rPr>
                <w:spacing w:val="-4"/>
                <w:lang w:val="ru-RU"/>
              </w:rPr>
            </w:pPr>
            <w:r w:rsidRPr="005F36B9">
              <w:rPr>
                <w:spacing w:val="-4"/>
                <w:lang w:val="kk-KZ"/>
              </w:rPr>
              <w:t>6.1</w:t>
            </w:r>
          </w:p>
          <w:p w:rsidR="0050122F" w:rsidRPr="005F36B9" w:rsidRDefault="0050122F" w:rsidP="0050122F">
            <w:pPr>
              <w:widowControl/>
              <w:jc w:val="center"/>
              <w:rPr>
                <w:spacing w:val="-4"/>
                <w:lang w:val="ru-RU"/>
              </w:rPr>
            </w:pPr>
            <w:r w:rsidRPr="005F36B9">
              <w:rPr>
                <w:spacing w:val="-4"/>
                <w:lang w:val="kk-KZ"/>
              </w:rPr>
              <w:t>(5.4-7.2)</w:t>
            </w:r>
          </w:p>
        </w:tc>
      </w:tr>
      <w:tr w:rsidR="0050122F" w:rsidRPr="005F36B9" w:rsidTr="0050122F">
        <w:trPr>
          <w:trHeight w:val="1535"/>
        </w:trPr>
        <w:tc>
          <w:tcPr>
            <w:tcW w:w="1418" w:type="dxa"/>
            <w:shd w:val="clear" w:color="auto" w:fill="auto"/>
          </w:tcPr>
          <w:p w:rsidR="0050122F" w:rsidRPr="005F36B9" w:rsidRDefault="0050122F" w:rsidP="0050122F">
            <w:pPr>
              <w:widowControl/>
              <w:rPr>
                <w:b/>
                <w:spacing w:val="-4"/>
                <w:lang w:val="ru-RU"/>
              </w:rPr>
            </w:pPr>
            <w:r w:rsidRPr="005F36B9">
              <w:rPr>
                <w:b/>
                <w:spacing w:val="-4"/>
                <w:lang w:val="kk-KZ"/>
              </w:rPr>
              <w:t>Өміршеңдік медианасы (айлар)</w:t>
            </w:r>
            <w:r w:rsidRPr="005F36B9">
              <w:rPr>
                <w:b/>
                <w:spacing w:val="-4"/>
                <w:lang w:val="kk-KZ"/>
              </w:rPr>
              <w:br/>
              <w:t xml:space="preserve"> (95% СА)</w:t>
            </w:r>
          </w:p>
        </w:tc>
        <w:tc>
          <w:tcPr>
            <w:tcW w:w="1701" w:type="dxa"/>
            <w:shd w:val="clear" w:color="auto" w:fill="auto"/>
          </w:tcPr>
          <w:p w:rsidR="0050122F" w:rsidRPr="005F36B9" w:rsidRDefault="0050122F" w:rsidP="0050122F">
            <w:pPr>
              <w:widowControl/>
              <w:jc w:val="center"/>
              <w:rPr>
                <w:spacing w:val="-4"/>
                <w:lang w:val="ru-RU"/>
              </w:rPr>
            </w:pPr>
            <w:r w:rsidRPr="005F36B9">
              <w:rPr>
                <w:spacing w:val="-4"/>
                <w:lang w:val="kk-KZ"/>
              </w:rPr>
              <w:t>16.4</w:t>
            </w:r>
          </w:p>
          <w:p w:rsidR="0050122F" w:rsidRPr="005F36B9" w:rsidRDefault="0050122F" w:rsidP="0050122F">
            <w:pPr>
              <w:widowControl/>
              <w:jc w:val="center"/>
              <w:rPr>
                <w:spacing w:val="-4"/>
                <w:lang w:val="ru-RU"/>
              </w:rPr>
            </w:pPr>
            <w:r w:rsidRPr="005F36B9">
              <w:rPr>
                <w:spacing w:val="-4"/>
                <w:lang w:val="kk-KZ"/>
              </w:rPr>
              <w:t>(12.3-ne)</w:t>
            </w:r>
          </w:p>
        </w:tc>
        <w:tc>
          <w:tcPr>
            <w:tcW w:w="1559" w:type="dxa"/>
            <w:shd w:val="clear" w:color="auto" w:fill="auto"/>
          </w:tcPr>
          <w:p w:rsidR="0050122F" w:rsidRPr="005F36B9" w:rsidRDefault="0050122F" w:rsidP="0050122F">
            <w:pPr>
              <w:widowControl/>
              <w:jc w:val="center"/>
              <w:rPr>
                <w:spacing w:val="-4"/>
                <w:lang w:val="ru-RU"/>
              </w:rPr>
            </w:pPr>
            <w:r w:rsidRPr="005F36B9">
              <w:rPr>
                <w:spacing w:val="-4"/>
                <w:lang w:val="kk-KZ"/>
              </w:rPr>
              <w:t>24.8</w:t>
            </w:r>
          </w:p>
          <w:p w:rsidR="0050122F" w:rsidRPr="005F36B9" w:rsidRDefault="0050122F" w:rsidP="0050122F">
            <w:pPr>
              <w:widowControl/>
              <w:jc w:val="center"/>
              <w:rPr>
                <w:spacing w:val="-4"/>
                <w:lang w:val="ru-RU"/>
              </w:rPr>
            </w:pPr>
            <w:r w:rsidRPr="005F36B9">
              <w:rPr>
                <w:spacing w:val="-4"/>
                <w:lang w:val="kk-KZ"/>
              </w:rPr>
              <w:t>(18.6-33.7)</w:t>
            </w:r>
          </w:p>
        </w:tc>
        <w:tc>
          <w:tcPr>
            <w:tcW w:w="1418" w:type="dxa"/>
            <w:shd w:val="clear" w:color="auto" w:fill="auto"/>
          </w:tcPr>
          <w:p w:rsidR="0050122F" w:rsidRPr="005F36B9" w:rsidRDefault="0050122F" w:rsidP="0050122F">
            <w:pPr>
              <w:widowControl/>
              <w:jc w:val="center"/>
              <w:rPr>
                <w:spacing w:val="-4"/>
                <w:lang w:val="ru-RU"/>
              </w:rPr>
            </w:pPr>
            <w:r w:rsidRPr="005F36B9">
              <w:rPr>
                <w:spacing w:val="-4"/>
                <w:lang w:val="kk-KZ"/>
              </w:rPr>
              <w:t>17.9</w:t>
            </w:r>
          </w:p>
          <w:p w:rsidR="0050122F" w:rsidRPr="005F36B9" w:rsidRDefault="0050122F" w:rsidP="0050122F">
            <w:pPr>
              <w:widowControl/>
              <w:jc w:val="center"/>
              <w:rPr>
                <w:spacing w:val="-4"/>
                <w:lang w:val="ru-RU"/>
              </w:rPr>
            </w:pPr>
            <w:r w:rsidRPr="005F36B9">
              <w:rPr>
                <w:spacing w:val="-4"/>
                <w:lang w:val="kk-KZ"/>
              </w:rPr>
              <w:t>(11.2-23.8)</w:t>
            </w:r>
          </w:p>
        </w:tc>
        <w:tc>
          <w:tcPr>
            <w:tcW w:w="1417" w:type="dxa"/>
            <w:shd w:val="clear" w:color="auto" w:fill="auto"/>
          </w:tcPr>
          <w:p w:rsidR="0050122F" w:rsidRPr="005F36B9" w:rsidRDefault="0050122F" w:rsidP="0050122F">
            <w:pPr>
              <w:widowControl/>
              <w:jc w:val="center"/>
              <w:rPr>
                <w:spacing w:val="-4"/>
                <w:lang w:val="ru-RU"/>
              </w:rPr>
            </w:pPr>
            <w:r w:rsidRPr="005F36B9">
              <w:rPr>
                <w:spacing w:val="-4"/>
                <w:lang w:val="kk-KZ"/>
              </w:rPr>
              <w:t>31.2</w:t>
            </w:r>
          </w:p>
          <w:p w:rsidR="0050122F" w:rsidRPr="005F36B9" w:rsidRDefault="0050122F" w:rsidP="0050122F">
            <w:pPr>
              <w:widowControl/>
              <w:jc w:val="center"/>
              <w:rPr>
                <w:spacing w:val="-4"/>
                <w:lang w:val="ru-RU"/>
              </w:rPr>
            </w:pPr>
            <w:r w:rsidRPr="005F36B9">
              <w:rPr>
                <w:spacing w:val="-4"/>
                <w:lang w:val="kk-KZ"/>
              </w:rPr>
              <w:t>(27.3-40.8)</w:t>
            </w:r>
          </w:p>
        </w:tc>
        <w:tc>
          <w:tcPr>
            <w:tcW w:w="1559" w:type="dxa"/>
            <w:shd w:val="clear" w:color="auto" w:fill="auto"/>
          </w:tcPr>
          <w:p w:rsidR="0050122F" w:rsidRPr="005F36B9" w:rsidRDefault="0050122F" w:rsidP="0050122F">
            <w:pPr>
              <w:widowControl/>
              <w:jc w:val="center"/>
              <w:rPr>
                <w:spacing w:val="-4"/>
                <w:lang w:val="ru-RU"/>
              </w:rPr>
            </w:pPr>
            <w:r w:rsidRPr="005F36B9">
              <w:rPr>
                <w:spacing w:val="-4"/>
                <w:lang w:val="kk-KZ"/>
              </w:rPr>
              <w:t>22.74</w:t>
            </w:r>
          </w:p>
          <w:p w:rsidR="0050122F" w:rsidRPr="005F36B9" w:rsidRDefault="0050122F" w:rsidP="0050122F">
            <w:pPr>
              <w:widowControl/>
              <w:jc w:val="center"/>
              <w:rPr>
                <w:spacing w:val="-4"/>
                <w:lang w:val="ru-RU"/>
              </w:rPr>
            </w:pPr>
            <w:r w:rsidRPr="005F36B9">
              <w:rPr>
                <w:spacing w:val="-4"/>
                <w:lang w:val="kk-KZ"/>
              </w:rPr>
              <w:t>(19.1-30.8)</w:t>
            </w:r>
          </w:p>
        </w:tc>
      </w:tr>
    </w:tbl>
    <w:p w:rsidR="0050122F" w:rsidRPr="005F36B9" w:rsidRDefault="0050122F" w:rsidP="0050122F">
      <w:pPr>
        <w:widowControl/>
        <w:jc w:val="both"/>
        <w:rPr>
          <w:spacing w:val="-4"/>
        </w:rPr>
      </w:pPr>
      <w:r w:rsidRPr="005F36B9">
        <w:rPr>
          <w:spacing w:val="-4"/>
          <w:lang w:val="kk-KZ"/>
        </w:rPr>
        <w:t>TTP-прогрессияға дейінгі уақыт; «ne» мәні бағаланбағанын немесе оған қол жеткізілмегенін білдіреді</w:t>
      </w:r>
    </w:p>
    <w:p w:rsidR="0050122F" w:rsidRPr="005F36B9" w:rsidRDefault="0050122F" w:rsidP="0050122F">
      <w:pPr>
        <w:widowControl/>
        <w:jc w:val="both"/>
        <w:rPr>
          <w:spacing w:val="-4"/>
        </w:rPr>
      </w:pPr>
      <w:r w:rsidRPr="005F36B9">
        <w:rPr>
          <w:spacing w:val="-4"/>
          <w:lang w:val="kk-KZ"/>
        </w:rPr>
        <w:t>1. H0649g зерттеуі: ИГХЗ+ пациенттерінің қосалқы тобы</w:t>
      </w:r>
    </w:p>
    <w:p w:rsidR="0050122F" w:rsidRPr="005F36B9" w:rsidRDefault="0050122F" w:rsidP="0050122F">
      <w:pPr>
        <w:widowControl/>
        <w:jc w:val="both"/>
        <w:rPr>
          <w:spacing w:val="-4"/>
        </w:rPr>
      </w:pPr>
      <w:r w:rsidRPr="005F36B9">
        <w:rPr>
          <w:spacing w:val="-4"/>
          <w:lang w:val="kk-KZ"/>
        </w:rPr>
        <w:t>2. H0648g зерттеуі: ИГХЗ+ пациенттерінің қосалқы тобы</w:t>
      </w:r>
    </w:p>
    <w:p w:rsidR="0050122F" w:rsidRPr="005F36B9" w:rsidRDefault="0050122F" w:rsidP="0050122F">
      <w:pPr>
        <w:widowControl/>
        <w:jc w:val="both"/>
        <w:rPr>
          <w:spacing w:val="-4"/>
          <w:lang w:val="kk-KZ"/>
        </w:rPr>
      </w:pPr>
      <w:r w:rsidRPr="005F36B9">
        <w:rPr>
          <w:spacing w:val="-4"/>
          <w:lang w:val="kk-KZ"/>
        </w:rPr>
        <w:t>3. М77001 зерттеуі: талдау үшін пациенттерді толық іріктеу (ITT-популяция), 24 ай бойындағы нәтижелер</w:t>
      </w:r>
    </w:p>
    <w:p w:rsidR="0050122F" w:rsidRPr="005F36B9" w:rsidRDefault="0050122F" w:rsidP="0050122F">
      <w:pPr>
        <w:widowControl/>
        <w:jc w:val="both"/>
        <w:rPr>
          <w:spacing w:val="-4"/>
        </w:rPr>
      </w:pPr>
    </w:p>
    <w:p w:rsidR="0050122F" w:rsidRPr="005F36B9" w:rsidRDefault="00E616ED" w:rsidP="0050122F">
      <w:pPr>
        <w:widowControl/>
        <w:jc w:val="both"/>
        <w:rPr>
          <w:i/>
          <w:spacing w:val="-4"/>
        </w:rPr>
      </w:pPr>
      <w:r w:rsidRPr="005F36B9">
        <w:rPr>
          <w:i/>
          <w:spacing w:val="-4"/>
          <w:lang w:val="kk-KZ"/>
        </w:rPr>
        <w:t xml:space="preserve">Трастузумаб </w:t>
      </w:r>
      <w:r w:rsidR="0050122F" w:rsidRPr="005F36B9">
        <w:rPr>
          <w:i/>
          <w:spacing w:val="-4"/>
          <w:lang w:val="kk-KZ"/>
        </w:rPr>
        <w:t>және анастрозолмен жүргізілген біріктірілген ем</w:t>
      </w:r>
    </w:p>
    <w:p w:rsidR="0050122F" w:rsidRPr="005F36B9" w:rsidRDefault="0050122F" w:rsidP="0050122F">
      <w:pPr>
        <w:widowControl/>
        <w:jc w:val="both"/>
        <w:rPr>
          <w:spacing w:val="-4"/>
          <w:lang w:val="kk-KZ"/>
        </w:rPr>
      </w:pPr>
      <w:r w:rsidRPr="005F36B9">
        <w:rPr>
          <w:spacing w:val="-4"/>
          <w:lang w:val="kk-KZ"/>
        </w:rPr>
        <w:lastRenderedPageBreak/>
        <w:t xml:space="preserve">Гормон-рецепторлық статусы оң (эстрогенді және/немесе прогестеронды) HER2 ісік гиперэкспрессиясы бар постменопаузадағы пациенттерде СБмО бірінші желілі емі ретінде </w:t>
      </w:r>
      <w:r w:rsidR="00E616ED" w:rsidRPr="005F36B9">
        <w:rPr>
          <w:spacing w:val="-4"/>
          <w:lang w:val="kk-KZ"/>
        </w:rPr>
        <w:t>трастузумабт</w:t>
      </w:r>
      <w:r w:rsidRPr="005F36B9">
        <w:rPr>
          <w:spacing w:val="-4"/>
          <w:lang w:val="kk-KZ"/>
        </w:rPr>
        <w:t>ың</w:t>
      </w:r>
      <w:r w:rsidR="00E616ED" w:rsidRPr="005F36B9">
        <w:rPr>
          <w:spacing w:val="-4"/>
          <w:lang w:val="kk-KZ"/>
        </w:rPr>
        <w:t xml:space="preserve"> </w:t>
      </w:r>
      <w:r w:rsidRPr="005F36B9">
        <w:rPr>
          <w:spacing w:val="-4"/>
          <w:lang w:val="kk-KZ"/>
        </w:rPr>
        <w:t>анастрозолмен біріктірілімде қолданылуы зерттелді. Аурудың өршуінсіз өміршеңдік көрсеткіші анастрозол алған топпен салыстырғанда (2.4 аймен салыстырғанда 4.8 ай)</w:t>
      </w:r>
      <w:r w:rsidR="00E616ED" w:rsidRPr="005F36B9">
        <w:rPr>
          <w:spacing w:val="-4"/>
          <w:lang w:val="kk-KZ"/>
        </w:rPr>
        <w:t>.</w:t>
      </w:r>
      <w:r w:rsidRPr="005F36B9">
        <w:rPr>
          <w:spacing w:val="-4"/>
          <w:lang w:val="kk-KZ"/>
        </w:rPr>
        <w:t xml:space="preserve"> </w:t>
      </w:r>
      <w:r w:rsidR="00E616ED" w:rsidRPr="005F36B9">
        <w:rPr>
          <w:spacing w:val="-4"/>
          <w:lang w:val="kk-KZ"/>
        </w:rPr>
        <w:t>Трастузумабт</w:t>
      </w:r>
      <w:r w:rsidRPr="005F36B9">
        <w:rPr>
          <w:spacing w:val="-4"/>
          <w:lang w:val="kk-KZ"/>
        </w:rPr>
        <w:t xml:space="preserve">ың анастрозолмен біріктірілімімен емдеу тобында екі есе жоғары болды. Біріктірілген емді қолдану басқа көрсеткіштердің жақсаруына әкелді: жалпы жауап (6.7%-бен салыстырғанда 16.5%), клиникалық тиімділік жиілігі (27.9%-бен салыстырғанда 42.7%), үдеуге дейінгі уақыты (2.4 аймен салыстырғанда 4.8 ай). Топтар арасында «жауапқа дейінгі уақыт» және «жауаптың ұзақтығы» көрсеткіштерінің айырмашылығы тіркелген жоқ. Жалпы өміршеңдік медианасы біріктірілген ем қабылдаған пациенттер тобында 4.6 айға ұлғайды. Айырмашылық статистикалық маңызды болған жоқ, алайда аурудың өршуінен кейін анастрозолмен монотерапия тобындағы пациенттердің жартысынан көбі </w:t>
      </w:r>
      <w:r w:rsidR="001D6C71" w:rsidRPr="005F36B9">
        <w:rPr>
          <w:spacing w:val="-4"/>
          <w:lang w:val="kk-KZ"/>
        </w:rPr>
        <w:t xml:space="preserve">трастузумабы </w:t>
      </w:r>
      <w:r w:rsidRPr="005F36B9">
        <w:rPr>
          <w:spacing w:val="-4"/>
          <w:lang w:val="kk-KZ"/>
        </w:rPr>
        <w:t>бар емдеу режиміне өтті.</w:t>
      </w:r>
    </w:p>
    <w:p w:rsidR="0050122F" w:rsidRPr="005F36B9" w:rsidRDefault="0050122F" w:rsidP="0050122F">
      <w:pPr>
        <w:widowControl/>
        <w:jc w:val="both"/>
        <w:rPr>
          <w:i/>
          <w:spacing w:val="-4"/>
          <w:lang w:val="kk-KZ"/>
        </w:rPr>
      </w:pPr>
      <w:r w:rsidRPr="005F36B9">
        <w:rPr>
          <w:i/>
          <w:spacing w:val="-4"/>
          <w:lang w:val="kk-KZ"/>
        </w:rPr>
        <w:t>Сүт безінің метастаздық обырында үш апталық дозалау</w:t>
      </w:r>
    </w:p>
    <w:p w:rsidR="0050122F" w:rsidRPr="005F36B9" w:rsidRDefault="0050122F" w:rsidP="0050122F">
      <w:pPr>
        <w:widowControl/>
        <w:jc w:val="both"/>
        <w:rPr>
          <w:spacing w:val="-4"/>
          <w:lang w:val="kk-KZ"/>
        </w:rPr>
      </w:pPr>
      <w:r w:rsidRPr="005F36B9">
        <w:rPr>
          <w:spacing w:val="-4"/>
          <w:lang w:val="kk-KZ"/>
        </w:rPr>
        <w:t xml:space="preserve">Монотерапияның және біріктірілген емнің тиімділігін салыстырмалы емес зерттеу </w:t>
      </w:r>
      <w:r w:rsidR="00354BC2" w:rsidRPr="005F36B9">
        <w:rPr>
          <w:spacing w:val="-4"/>
          <w:lang w:val="kk-KZ"/>
        </w:rPr>
        <w:t xml:space="preserve">нәтижелері 4 </w:t>
      </w:r>
      <w:r w:rsidRPr="005F36B9">
        <w:rPr>
          <w:spacing w:val="-4"/>
          <w:lang w:val="kk-KZ"/>
        </w:rPr>
        <w:t xml:space="preserve">кестеде жинақталған: </w:t>
      </w:r>
    </w:p>
    <w:p w:rsidR="0050122F" w:rsidRPr="005F36B9" w:rsidRDefault="0050122F" w:rsidP="0050122F">
      <w:pPr>
        <w:widowControl/>
        <w:jc w:val="both"/>
        <w:rPr>
          <w:b/>
          <w:spacing w:val="-4"/>
          <w:lang w:val="kk-KZ"/>
        </w:rPr>
      </w:pPr>
    </w:p>
    <w:p w:rsidR="0050122F" w:rsidRPr="005F36B9" w:rsidRDefault="008B196D" w:rsidP="0050122F">
      <w:pPr>
        <w:widowControl/>
        <w:jc w:val="both"/>
        <w:rPr>
          <w:b/>
          <w:spacing w:val="-4"/>
          <w:lang w:val="kk-KZ"/>
        </w:rPr>
      </w:pPr>
      <w:r w:rsidRPr="005F36B9">
        <w:rPr>
          <w:b/>
          <w:spacing w:val="-4"/>
          <w:lang w:val="kk-KZ"/>
        </w:rPr>
        <w:t xml:space="preserve">4 </w:t>
      </w:r>
      <w:r w:rsidR="0050122F" w:rsidRPr="005F36B9">
        <w:rPr>
          <w:b/>
          <w:spacing w:val="-4"/>
          <w:lang w:val="kk-KZ"/>
        </w:rPr>
        <w:t>кесте. Монотерапияның және біріктірілген емнің тиімділігін салыстырмалы емес зерттеу нәтижелері</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26"/>
        <w:gridCol w:w="1563"/>
        <w:gridCol w:w="1790"/>
        <w:gridCol w:w="1686"/>
      </w:tblGrid>
      <w:tr w:rsidR="0050122F" w:rsidRPr="005F36B9" w:rsidTr="0050122F">
        <w:trPr>
          <w:trHeight w:val="287"/>
        </w:trPr>
        <w:tc>
          <w:tcPr>
            <w:tcW w:w="2451" w:type="dxa"/>
            <w:shd w:val="clear" w:color="auto" w:fill="auto"/>
          </w:tcPr>
          <w:p w:rsidR="0050122F" w:rsidRPr="005F36B9" w:rsidRDefault="0050122F" w:rsidP="0050122F">
            <w:pPr>
              <w:ind w:right="-20"/>
              <w:jc w:val="both"/>
              <w:rPr>
                <w:spacing w:val="-4"/>
                <w:lang w:val="ru-RU"/>
              </w:rPr>
            </w:pPr>
            <w:r w:rsidRPr="005F36B9">
              <w:rPr>
                <w:b/>
                <w:spacing w:val="-4"/>
                <w:lang w:val="kk-KZ"/>
              </w:rPr>
              <w:t>Параметр</w:t>
            </w:r>
          </w:p>
        </w:tc>
        <w:tc>
          <w:tcPr>
            <w:tcW w:w="3127" w:type="dxa"/>
            <w:gridSpan w:val="2"/>
            <w:shd w:val="clear" w:color="auto" w:fill="auto"/>
          </w:tcPr>
          <w:p w:rsidR="0050122F" w:rsidRPr="005F36B9" w:rsidRDefault="0050122F" w:rsidP="0050122F">
            <w:pPr>
              <w:widowControl/>
              <w:jc w:val="center"/>
              <w:rPr>
                <w:b/>
                <w:spacing w:val="-4"/>
                <w:lang w:val="ru-RU"/>
              </w:rPr>
            </w:pPr>
            <w:r w:rsidRPr="005F36B9">
              <w:rPr>
                <w:b/>
                <w:spacing w:val="-4"/>
                <w:lang w:val="kk-KZ"/>
              </w:rPr>
              <w:t>Монотерапия</w:t>
            </w:r>
          </w:p>
        </w:tc>
        <w:tc>
          <w:tcPr>
            <w:tcW w:w="3494" w:type="dxa"/>
            <w:gridSpan w:val="2"/>
            <w:shd w:val="clear" w:color="auto" w:fill="auto"/>
          </w:tcPr>
          <w:p w:rsidR="0050122F" w:rsidRPr="005F36B9" w:rsidRDefault="0050122F" w:rsidP="0050122F">
            <w:pPr>
              <w:widowControl/>
              <w:jc w:val="center"/>
              <w:rPr>
                <w:b/>
                <w:spacing w:val="-4"/>
                <w:lang w:val="ru-RU"/>
              </w:rPr>
            </w:pPr>
            <w:r w:rsidRPr="005F36B9">
              <w:rPr>
                <w:b/>
                <w:spacing w:val="-4"/>
                <w:lang w:val="kk-KZ"/>
              </w:rPr>
              <w:t xml:space="preserve">Біріктірілген ем </w:t>
            </w:r>
          </w:p>
        </w:tc>
      </w:tr>
      <w:tr w:rsidR="0050122F" w:rsidRPr="005F36B9" w:rsidTr="0050122F">
        <w:trPr>
          <w:trHeight w:val="1164"/>
        </w:trPr>
        <w:tc>
          <w:tcPr>
            <w:tcW w:w="2451" w:type="dxa"/>
            <w:shd w:val="clear" w:color="auto" w:fill="auto"/>
          </w:tcPr>
          <w:p w:rsidR="0050122F" w:rsidRPr="005F36B9" w:rsidRDefault="0050122F" w:rsidP="0050122F">
            <w:pPr>
              <w:ind w:right="-20"/>
              <w:jc w:val="both"/>
              <w:rPr>
                <w:spacing w:val="-4"/>
                <w:lang w:val="ru-RU"/>
              </w:rPr>
            </w:pPr>
          </w:p>
        </w:tc>
        <w:tc>
          <w:tcPr>
            <w:tcW w:w="1563" w:type="dxa"/>
            <w:shd w:val="clear" w:color="auto" w:fill="auto"/>
          </w:tcPr>
          <w:p w:rsidR="0050122F" w:rsidRPr="005F36B9" w:rsidRDefault="001D6C71" w:rsidP="0050122F">
            <w:pPr>
              <w:widowControl/>
              <w:jc w:val="center"/>
              <w:rPr>
                <w:b/>
                <w:spacing w:val="-4"/>
                <w:vertAlign w:val="superscript"/>
                <w:lang w:val="ru-RU"/>
              </w:rPr>
            </w:pPr>
            <w:r w:rsidRPr="005F36B9">
              <w:rPr>
                <w:b/>
                <w:spacing w:val="-4"/>
                <w:lang w:val="kk-KZ"/>
              </w:rPr>
              <w:t>Трастузумаб</w:t>
            </w:r>
            <w:r w:rsidR="0050122F" w:rsidRPr="005F36B9">
              <w:rPr>
                <w:b/>
                <w:spacing w:val="-4"/>
                <w:vertAlign w:val="superscript"/>
                <w:lang w:val="kk-KZ"/>
              </w:rPr>
              <w:t>1</w:t>
            </w:r>
          </w:p>
          <w:p w:rsidR="0050122F" w:rsidRPr="005F36B9" w:rsidRDefault="0050122F" w:rsidP="0050122F">
            <w:pPr>
              <w:widowControl/>
              <w:jc w:val="center"/>
              <w:rPr>
                <w:b/>
                <w:spacing w:val="-4"/>
                <w:vertAlign w:val="superscript"/>
                <w:lang w:val="ru-RU"/>
              </w:rPr>
            </w:pPr>
          </w:p>
          <w:p w:rsidR="0050122F" w:rsidRPr="005F36B9" w:rsidRDefault="0050122F" w:rsidP="0050122F">
            <w:pPr>
              <w:widowControl/>
              <w:jc w:val="center"/>
              <w:rPr>
                <w:b/>
                <w:spacing w:val="-4"/>
                <w:vertAlign w:val="superscript"/>
                <w:lang w:val="ru-RU"/>
              </w:rPr>
            </w:pPr>
          </w:p>
          <w:p w:rsidR="0050122F" w:rsidRPr="005F36B9" w:rsidRDefault="0050122F" w:rsidP="0050122F">
            <w:pPr>
              <w:widowControl/>
              <w:jc w:val="center"/>
              <w:rPr>
                <w:b/>
                <w:spacing w:val="-4"/>
                <w:lang w:val="ru-RU"/>
              </w:rPr>
            </w:pPr>
            <w:r w:rsidRPr="005F36B9">
              <w:rPr>
                <w:b/>
                <w:spacing w:val="-4"/>
                <w:lang w:val="kk-KZ"/>
              </w:rPr>
              <w:t>N=105</w:t>
            </w:r>
          </w:p>
        </w:tc>
        <w:tc>
          <w:tcPr>
            <w:tcW w:w="1564" w:type="dxa"/>
            <w:shd w:val="clear" w:color="auto" w:fill="auto"/>
          </w:tcPr>
          <w:p w:rsidR="0050122F" w:rsidRPr="005F36B9" w:rsidRDefault="001D6C71" w:rsidP="0050122F">
            <w:pPr>
              <w:widowControl/>
              <w:jc w:val="center"/>
              <w:rPr>
                <w:b/>
                <w:spacing w:val="-4"/>
                <w:vertAlign w:val="superscript"/>
                <w:lang w:val="ru-RU"/>
              </w:rPr>
            </w:pPr>
            <w:r w:rsidRPr="005F36B9">
              <w:rPr>
                <w:b/>
                <w:spacing w:val="-4"/>
                <w:lang w:val="kk-KZ"/>
              </w:rPr>
              <w:t xml:space="preserve">Трастузумаб </w:t>
            </w:r>
            <w:r w:rsidR="0050122F" w:rsidRPr="005F36B9">
              <w:rPr>
                <w:b/>
                <w:spacing w:val="-4"/>
                <w:vertAlign w:val="superscript"/>
                <w:lang w:val="kk-KZ"/>
              </w:rPr>
              <w:t>2</w:t>
            </w:r>
          </w:p>
          <w:p w:rsidR="0050122F" w:rsidRPr="005F36B9" w:rsidRDefault="0050122F" w:rsidP="0050122F">
            <w:pPr>
              <w:widowControl/>
              <w:jc w:val="center"/>
              <w:rPr>
                <w:b/>
                <w:spacing w:val="-4"/>
                <w:vertAlign w:val="superscript"/>
                <w:lang w:val="ru-RU"/>
              </w:rPr>
            </w:pPr>
          </w:p>
          <w:p w:rsidR="0050122F" w:rsidRPr="005F36B9" w:rsidRDefault="0050122F" w:rsidP="0050122F">
            <w:pPr>
              <w:widowControl/>
              <w:jc w:val="center"/>
              <w:rPr>
                <w:b/>
                <w:spacing w:val="-4"/>
                <w:vertAlign w:val="superscript"/>
                <w:lang w:val="ru-RU"/>
              </w:rPr>
            </w:pPr>
          </w:p>
          <w:p w:rsidR="0050122F" w:rsidRPr="005F36B9" w:rsidRDefault="0050122F" w:rsidP="0050122F">
            <w:pPr>
              <w:widowControl/>
              <w:jc w:val="center"/>
              <w:rPr>
                <w:b/>
                <w:spacing w:val="-4"/>
                <w:lang w:val="ru-RU"/>
              </w:rPr>
            </w:pPr>
            <w:r w:rsidRPr="005F36B9">
              <w:rPr>
                <w:b/>
                <w:spacing w:val="-4"/>
                <w:lang w:val="kk-KZ"/>
              </w:rPr>
              <w:t>N=72</w:t>
            </w:r>
          </w:p>
        </w:tc>
        <w:tc>
          <w:tcPr>
            <w:tcW w:w="1799" w:type="dxa"/>
            <w:shd w:val="clear" w:color="auto" w:fill="auto"/>
          </w:tcPr>
          <w:p w:rsidR="0050122F" w:rsidRPr="005F36B9" w:rsidRDefault="001D6C71" w:rsidP="0050122F">
            <w:pPr>
              <w:widowControl/>
              <w:jc w:val="center"/>
              <w:rPr>
                <w:b/>
                <w:spacing w:val="-4"/>
                <w:lang w:val="ru-RU"/>
              </w:rPr>
            </w:pPr>
            <w:r w:rsidRPr="005F36B9">
              <w:rPr>
                <w:b/>
                <w:spacing w:val="-4"/>
                <w:lang w:val="kk-KZ"/>
              </w:rPr>
              <w:t>Трастузумаб</w:t>
            </w:r>
            <w:r w:rsidR="0050122F" w:rsidRPr="005F36B9">
              <w:rPr>
                <w:b/>
                <w:spacing w:val="-4"/>
                <w:lang w:val="kk-KZ"/>
              </w:rPr>
              <w:t xml:space="preserve"> плюс паклитаксел</w:t>
            </w:r>
            <w:r w:rsidR="0050122F" w:rsidRPr="005F36B9">
              <w:rPr>
                <w:b/>
                <w:spacing w:val="-4"/>
                <w:vertAlign w:val="superscript"/>
                <w:lang w:val="kk-KZ"/>
              </w:rPr>
              <w:t>3</w:t>
            </w:r>
          </w:p>
          <w:p w:rsidR="0050122F" w:rsidRPr="005F36B9" w:rsidRDefault="0050122F" w:rsidP="0050122F">
            <w:pPr>
              <w:widowControl/>
              <w:jc w:val="center"/>
              <w:rPr>
                <w:b/>
                <w:spacing w:val="-4"/>
                <w:lang w:val="ru-RU"/>
              </w:rPr>
            </w:pPr>
            <w:r w:rsidRPr="005F36B9">
              <w:rPr>
                <w:b/>
                <w:spacing w:val="-4"/>
                <w:lang w:val="kk-KZ"/>
              </w:rPr>
              <w:t>N=32</w:t>
            </w:r>
          </w:p>
        </w:tc>
        <w:tc>
          <w:tcPr>
            <w:tcW w:w="1695" w:type="dxa"/>
            <w:shd w:val="clear" w:color="auto" w:fill="auto"/>
          </w:tcPr>
          <w:p w:rsidR="0050122F" w:rsidRPr="005F36B9" w:rsidRDefault="001D6C71" w:rsidP="0050122F">
            <w:pPr>
              <w:widowControl/>
              <w:jc w:val="center"/>
              <w:rPr>
                <w:b/>
                <w:spacing w:val="-4"/>
                <w:lang w:val="ru-RU"/>
              </w:rPr>
            </w:pPr>
            <w:r w:rsidRPr="005F36B9">
              <w:rPr>
                <w:b/>
                <w:spacing w:val="-4"/>
                <w:lang w:val="kk-KZ"/>
              </w:rPr>
              <w:t>Трастузумаб</w:t>
            </w:r>
            <w:r w:rsidR="0050122F" w:rsidRPr="005F36B9">
              <w:rPr>
                <w:b/>
                <w:spacing w:val="-4"/>
                <w:lang w:val="kk-KZ"/>
              </w:rPr>
              <w:t xml:space="preserve"> плюс доцетаксел</w:t>
            </w:r>
            <w:r w:rsidR="0050122F" w:rsidRPr="005F36B9">
              <w:rPr>
                <w:b/>
                <w:spacing w:val="-4"/>
                <w:vertAlign w:val="superscript"/>
                <w:lang w:val="kk-KZ"/>
              </w:rPr>
              <w:t>4</w:t>
            </w:r>
          </w:p>
          <w:p w:rsidR="0050122F" w:rsidRPr="005F36B9" w:rsidRDefault="0050122F" w:rsidP="0050122F">
            <w:pPr>
              <w:widowControl/>
              <w:jc w:val="center"/>
              <w:rPr>
                <w:b/>
                <w:spacing w:val="-4"/>
                <w:lang w:val="ru-RU"/>
              </w:rPr>
            </w:pPr>
            <w:r w:rsidRPr="005F36B9">
              <w:rPr>
                <w:b/>
                <w:spacing w:val="-4"/>
                <w:lang w:val="kk-KZ"/>
              </w:rPr>
              <w:t>N=110</w:t>
            </w:r>
          </w:p>
        </w:tc>
      </w:tr>
      <w:tr w:rsidR="0050122F" w:rsidRPr="005F36B9" w:rsidTr="0050122F">
        <w:trPr>
          <w:trHeight w:val="590"/>
        </w:trPr>
        <w:tc>
          <w:tcPr>
            <w:tcW w:w="2451" w:type="dxa"/>
            <w:shd w:val="clear" w:color="auto" w:fill="auto"/>
          </w:tcPr>
          <w:p w:rsidR="0050122F" w:rsidRPr="005F36B9" w:rsidRDefault="0050122F" w:rsidP="0050122F">
            <w:pPr>
              <w:widowControl/>
              <w:rPr>
                <w:b/>
                <w:spacing w:val="-4"/>
                <w:lang w:val="ru-RU"/>
              </w:rPr>
            </w:pPr>
            <w:r w:rsidRPr="005F36B9">
              <w:rPr>
                <w:b/>
                <w:spacing w:val="-4"/>
                <w:lang w:val="kk-KZ"/>
              </w:rPr>
              <w:t xml:space="preserve">Жауап жиілігі </w:t>
            </w:r>
          </w:p>
          <w:p w:rsidR="0050122F" w:rsidRPr="005F36B9" w:rsidRDefault="0050122F" w:rsidP="0050122F">
            <w:pPr>
              <w:widowControl/>
              <w:rPr>
                <w:b/>
                <w:spacing w:val="-4"/>
                <w:lang w:val="ru-RU"/>
              </w:rPr>
            </w:pPr>
            <w:r w:rsidRPr="005F36B9">
              <w:rPr>
                <w:b/>
                <w:spacing w:val="-4"/>
                <w:lang w:val="kk-KZ"/>
              </w:rPr>
              <w:t xml:space="preserve">(95% СА) </w:t>
            </w:r>
          </w:p>
        </w:tc>
        <w:tc>
          <w:tcPr>
            <w:tcW w:w="1563" w:type="dxa"/>
            <w:shd w:val="clear" w:color="auto" w:fill="auto"/>
          </w:tcPr>
          <w:p w:rsidR="0050122F" w:rsidRPr="005F36B9" w:rsidRDefault="0050122F" w:rsidP="0050122F">
            <w:pPr>
              <w:widowControl/>
              <w:jc w:val="center"/>
              <w:rPr>
                <w:spacing w:val="-4"/>
                <w:lang w:val="ru-RU"/>
              </w:rPr>
            </w:pPr>
            <w:r w:rsidRPr="005F36B9">
              <w:rPr>
                <w:spacing w:val="-4"/>
                <w:lang w:val="kk-KZ"/>
              </w:rPr>
              <w:t xml:space="preserve">24% </w:t>
            </w:r>
          </w:p>
          <w:p w:rsidR="0050122F" w:rsidRPr="005F36B9" w:rsidRDefault="0050122F" w:rsidP="0050122F">
            <w:pPr>
              <w:widowControl/>
              <w:jc w:val="center"/>
              <w:rPr>
                <w:spacing w:val="-4"/>
                <w:lang w:val="ru-RU"/>
              </w:rPr>
            </w:pPr>
            <w:r w:rsidRPr="005F36B9">
              <w:rPr>
                <w:spacing w:val="-4"/>
                <w:lang w:val="kk-KZ"/>
              </w:rPr>
              <w:t xml:space="preserve">(15-35) </w:t>
            </w:r>
          </w:p>
        </w:tc>
        <w:tc>
          <w:tcPr>
            <w:tcW w:w="1564" w:type="dxa"/>
            <w:shd w:val="clear" w:color="auto" w:fill="auto"/>
          </w:tcPr>
          <w:p w:rsidR="0050122F" w:rsidRPr="005F36B9" w:rsidRDefault="0050122F" w:rsidP="0050122F">
            <w:pPr>
              <w:widowControl/>
              <w:jc w:val="center"/>
              <w:rPr>
                <w:spacing w:val="-4"/>
                <w:lang w:val="ru-RU"/>
              </w:rPr>
            </w:pPr>
            <w:r w:rsidRPr="005F36B9">
              <w:rPr>
                <w:spacing w:val="-4"/>
                <w:lang w:val="kk-KZ"/>
              </w:rPr>
              <w:t xml:space="preserve">27% </w:t>
            </w:r>
          </w:p>
          <w:p w:rsidR="0050122F" w:rsidRPr="005F36B9" w:rsidRDefault="0050122F" w:rsidP="0050122F">
            <w:pPr>
              <w:widowControl/>
              <w:jc w:val="center"/>
              <w:rPr>
                <w:spacing w:val="-4"/>
                <w:lang w:val="ru-RU"/>
              </w:rPr>
            </w:pPr>
            <w:r w:rsidRPr="005F36B9">
              <w:rPr>
                <w:spacing w:val="-4"/>
                <w:lang w:val="kk-KZ"/>
              </w:rPr>
              <w:t xml:space="preserve">(14-43) </w:t>
            </w:r>
          </w:p>
        </w:tc>
        <w:tc>
          <w:tcPr>
            <w:tcW w:w="1799" w:type="dxa"/>
            <w:shd w:val="clear" w:color="auto" w:fill="auto"/>
          </w:tcPr>
          <w:p w:rsidR="0050122F" w:rsidRPr="005F36B9" w:rsidRDefault="0050122F" w:rsidP="0050122F">
            <w:pPr>
              <w:widowControl/>
              <w:jc w:val="center"/>
              <w:rPr>
                <w:spacing w:val="-4"/>
                <w:lang w:val="ru-RU"/>
              </w:rPr>
            </w:pPr>
            <w:r w:rsidRPr="005F36B9">
              <w:rPr>
                <w:spacing w:val="-4"/>
                <w:lang w:val="kk-KZ"/>
              </w:rPr>
              <w:t xml:space="preserve">59% </w:t>
            </w:r>
          </w:p>
          <w:p w:rsidR="0050122F" w:rsidRPr="005F36B9" w:rsidRDefault="0050122F" w:rsidP="0050122F">
            <w:pPr>
              <w:widowControl/>
              <w:jc w:val="center"/>
              <w:rPr>
                <w:spacing w:val="-4"/>
                <w:lang w:val="ru-RU"/>
              </w:rPr>
            </w:pPr>
            <w:r w:rsidRPr="005F36B9">
              <w:rPr>
                <w:spacing w:val="-4"/>
                <w:lang w:val="kk-KZ"/>
              </w:rPr>
              <w:t xml:space="preserve">(41-76) </w:t>
            </w:r>
          </w:p>
        </w:tc>
        <w:tc>
          <w:tcPr>
            <w:tcW w:w="1695" w:type="dxa"/>
            <w:shd w:val="clear" w:color="auto" w:fill="auto"/>
          </w:tcPr>
          <w:p w:rsidR="0050122F" w:rsidRPr="005F36B9" w:rsidRDefault="0050122F" w:rsidP="0050122F">
            <w:pPr>
              <w:widowControl/>
              <w:jc w:val="center"/>
              <w:rPr>
                <w:spacing w:val="-4"/>
                <w:lang w:val="ru-RU"/>
              </w:rPr>
            </w:pPr>
            <w:r w:rsidRPr="005F36B9">
              <w:rPr>
                <w:spacing w:val="-4"/>
                <w:lang w:val="kk-KZ"/>
              </w:rPr>
              <w:t xml:space="preserve">73% </w:t>
            </w:r>
          </w:p>
          <w:p w:rsidR="0050122F" w:rsidRPr="005F36B9" w:rsidRDefault="0050122F" w:rsidP="0050122F">
            <w:pPr>
              <w:widowControl/>
              <w:jc w:val="center"/>
              <w:rPr>
                <w:spacing w:val="-4"/>
                <w:lang w:val="ru-RU"/>
              </w:rPr>
            </w:pPr>
            <w:r w:rsidRPr="005F36B9">
              <w:rPr>
                <w:spacing w:val="-4"/>
                <w:lang w:val="kk-KZ"/>
              </w:rPr>
              <w:t xml:space="preserve">(63-81) </w:t>
            </w:r>
          </w:p>
        </w:tc>
      </w:tr>
      <w:tr w:rsidR="0050122F" w:rsidRPr="005F36B9" w:rsidTr="0050122F">
        <w:trPr>
          <w:trHeight w:val="1164"/>
        </w:trPr>
        <w:tc>
          <w:tcPr>
            <w:tcW w:w="2451" w:type="dxa"/>
            <w:shd w:val="clear" w:color="auto" w:fill="auto"/>
          </w:tcPr>
          <w:p w:rsidR="0050122F" w:rsidRPr="005F36B9" w:rsidRDefault="0050122F" w:rsidP="0050122F">
            <w:pPr>
              <w:widowControl/>
              <w:rPr>
                <w:b/>
                <w:spacing w:val="-4"/>
              </w:rPr>
            </w:pPr>
            <w:r w:rsidRPr="005F36B9">
              <w:rPr>
                <w:b/>
                <w:spacing w:val="-4"/>
                <w:lang w:val="kk-KZ"/>
              </w:rPr>
              <w:t xml:space="preserve">Жауап беру ұзақтығының медианасы (айлар) </w:t>
            </w:r>
          </w:p>
          <w:p w:rsidR="0050122F" w:rsidRPr="005F36B9" w:rsidRDefault="0050122F" w:rsidP="0050122F">
            <w:pPr>
              <w:widowControl/>
              <w:rPr>
                <w:b/>
                <w:spacing w:val="-4"/>
                <w:lang w:val="ru-RU"/>
              </w:rPr>
            </w:pPr>
            <w:r w:rsidRPr="005F36B9">
              <w:rPr>
                <w:b/>
                <w:spacing w:val="-4"/>
                <w:lang w:val="kk-KZ"/>
              </w:rPr>
              <w:t xml:space="preserve">(ауқымында) </w:t>
            </w:r>
          </w:p>
        </w:tc>
        <w:tc>
          <w:tcPr>
            <w:tcW w:w="1563" w:type="dxa"/>
            <w:shd w:val="clear" w:color="auto" w:fill="auto"/>
          </w:tcPr>
          <w:p w:rsidR="0050122F" w:rsidRPr="005F36B9" w:rsidRDefault="0050122F" w:rsidP="0050122F">
            <w:pPr>
              <w:widowControl/>
              <w:jc w:val="center"/>
              <w:rPr>
                <w:spacing w:val="-4"/>
                <w:lang w:val="ru-RU"/>
              </w:rPr>
            </w:pPr>
            <w:r w:rsidRPr="005F36B9">
              <w:rPr>
                <w:spacing w:val="-4"/>
                <w:lang w:val="kk-KZ"/>
              </w:rPr>
              <w:t>10.1</w:t>
            </w:r>
          </w:p>
          <w:p w:rsidR="0050122F" w:rsidRPr="005F36B9" w:rsidRDefault="0050122F" w:rsidP="0050122F">
            <w:pPr>
              <w:widowControl/>
              <w:jc w:val="center"/>
              <w:rPr>
                <w:spacing w:val="-4"/>
                <w:lang w:val="ru-RU"/>
              </w:rPr>
            </w:pPr>
            <w:r w:rsidRPr="005F36B9">
              <w:rPr>
                <w:spacing w:val="-4"/>
                <w:lang w:val="kk-KZ"/>
              </w:rPr>
              <w:t>(2.8-35.6)</w:t>
            </w:r>
          </w:p>
        </w:tc>
        <w:tc>
          <w:tcPr>
            <w:tcW w:w="1564" w:type="dxa"/>
            <w:shd w:val="clear" w:color="auto" w:fill="auto"/>
          </w:tcPr>
          <w:p w:rsidR="0050122F" w:rsidRPr="005F36B9" w:rsidRDefault="0050122F" w:rsidP="0050122F">
            <w:pPr>
              <w:widowControl/>
              <w:jc w:val="center"/>
              <w:rPr>
                <w:spacing w:val="-4"/>
                <w:lang w:val="ru-RU"/>
              </w:rPr>
            </w:pPr>
            <w:r w:rsidRPr="005F36B9">
              <w:rPr>
                <w:spacing w:val="-4"/>
                <w:lang w:val="kk-KZ"/>
              </w:rPr>
              <w:t>7.9</w:t>
            </w:r>
          </w:p>
          <w:p w:rsidR="0050122F" w:rsidRPr="005F36B9" w:rsidRDefault="0050122F" w:rsidP="0050122F">
            <w:pPr>
              <w:widowControl/>
              <w:jc w:val="center"/>
              <w:rPr>
                <w:spacing w:val="-4"/>
                <w:lang w:val="ru-RU"/>
              </w:rPr>
            </w:pPr>
            <w:r w:rsidRPr="005F36B9">
              <w:rPr>
                <w:spacing w:val="-4"/>
                <w:lang w:val="kk-KZ"/>
              </w:rPr>
              <w:t>(2.1-18.8)</w:t>
            </w:r>
          </w:p>
        </w:tc>
        <w:tc>
          <w:tcPr>
            <w:tcW w:w="1799" w:type="dxa"/>
            <w:shd w:val="clear" w:color="auto" w:fill="auto"/>
          </w:tcPr>
          <w:p w:rsidR="0050122F" w:rsidRPr="005F36B9" w:rsidRDefault="0050122F" w:rsidP="0050122F">
            <w:pPr>
              <w:widowControl/>
              <w:jc w:val="center"/>
              <w:rPr>
                <w:spacing w:val="-4"/>
                <w:lang w:val="ru-RU"/>
              </w:rPr>
            </w:pPr>
            <w:r w:rsidRPr="005F36B9">
              <w:rPr>
                <w:spacing w:val="-4"/>
                <w:lang w:val="kk-KZ"/>
              </w:rPr>
              <w:t>10.5</w:t>
            </w:r>
          </w:p>
          <w:p w:rsidR="0050122F" w:rsidRPr="005F36B9" w:rsidRDefault="0050122F" w:rsidP="0050122F">
            <w:pPr>
              <w:widowControl/>
              <w:jc w:val="center"/>
              <w:rPr>
                <w:spacing w:val="-4"/>
                <w:lang w:val="ru-RU"/>
              </w:rPr>
            </w:pPr>
            <w:r w:rsidRPr="005F36B9">
              <w:rPr>
                <w:spacing w:val="-4"/>
                <w:lang w:val="kk-KZ"/>
              </w:rPr>
              <w:t>(1.8-21)</w:t>
            </w:r>
          </w:p>
        </w:tc>
        <w:tc>
          <w:tcPr>
            <w:tcW w:w="1695" w:type="dxa"/>
            <w:shd w:val="clear" w:color="auto" w:fill="auto"/>
          </w:tcPr>
          <w:p w:rsidR="0050122F" w:rsidRPr="005F36B9" w:rsidRDefault="0050122F" w:rsidP="0050122F">
            <w:pPr>
              <w:widowControl/>
              <w:jc w:val="center"/>
              <w:rPr>
                <w:spacing w:val="-4"/>
                <w:lang w:val="ru-RU"/>
              </w:rPr>
            </w:pPr>
            <w:r w:rsidRPr="005F36B9">
              <w:rPr>
                <w:spacing w:val="-4"/>
                <w:lang w:val="kk-KZ"/>
              </w:rPr>
              <w:t>13.4</w:t>
            </w:r>
          </w:p>
          <w:p w:rsidR="0050122F" w:rsidRPr="005F36B9" w:rsidRDefault="0050122F" w:rsidP="0050122F">
            <w:pPr>
              <w:widowControl/>
              <w:jc w:val="center"/>
              <w:rPr>
                <w:spacing w:val="-4"/>
                <w:lang w:val="ru-RU"/>
              </w:rPr>
            </w:pPr>
            <w:r w:rsidRPr="005F36B9">
              <w:rPr>
                <w:spacing w:val="-4"/>
                <w:lang w:val="kk-KZ"/>
              </w:rPr>
              <w:t>(2.1-55.1)</w:t>
            </w:r>
          </w:p>
        </w:tc>
      </w:tr>
      <w:tr w:rsidR="0050122F" w:rsidRPr="005F36B9" w:rsidTr="0050122F">
        <w:trPr>
          <w:trHeight w:val="877"/>
        </w:trPr>
        <w:tc>
          <w:tcPr>
            <w:tcW w:w="2451" w:type="dxa"/>
            <w:shd w:val="clear" w:color="auto" w:fill="auto"/>
          </w:tcPr>
          <w:p w:rsidR="0050122F" w:rsidRPr="005F36B9" w:rsidRDefault="0050122F" w:rsidP="0050122F">
            <w:pPr>
              <w:widowControl/>
              <w:rPr>
                <w:b/>
                <w:spacing w:val="-4"/>
                <w:lang w:val="ru-RU"/>
              </w:rPr>
            </w:pPr>
            <w:r w:rsidRPr="005F36B9">
              <w:rPr>
                <w:b/>
                <w:spacing w:val="-4"/>
                <w:lang w:val="kk-KZ"/>
              </w:rPr>
              <w:t xml:space="preserve">TTP медианасы (айлар) </w:t>
            </w:r>
          </w:p>
          <w:p w:rsidR="0050122F" w:rsidRPr="005F36B9" w:rsidRDefault="0050122F" w:rsidP="0050122F">
            <w:pPr>
              <w:widowControl/>
              <w:rPr>
                <w:b/>
                <w:spacing w:val="-4"/>
                <w:lang w:val="ru-RU"/>
              </w:rPr>
            </w:pPr>
            <w:r w:rsidRPr="005F36B9">
              <w:rPr>
                <w:b/>
                <w:spacing w:val="-4"/>
                <w:lang w:val="kk-KZ"/>
              </w:rPr>
              <w:t>(95% СА)</w:t>
            </w:r>
          </w:p>
        </w:tc>
        <w:tc>
          <w:tcPr>
            <w:tcW w:w="1563" w:type="dxa"/>
            <w:shd w:val="clear" w:color="auto" w:fill="auto"/>
          </w:tcPr>
          <w:p w:rsidR="0050122F" w:rsidRPr="005F36B9" w:rsidRDefault="0050122F" w:rsidP="0050122F">
            <w:pPr>
              <w:widowControl/>
              <w:jc w:val="center"/>
              <w:rPr>
                <w:spacing w:val="-4"/>
                <w:lang w:val="ru-RU"/>
              </w:rPr>
            </w:pPr>
            <w:r w:rsidRPr="005F36B9">
              <w:rPr>
                <w:spacing w:val="-4"/>
                <w:lang w:val="kk-KZ"/>
              </w:rPr>
              <w:t>3.4</w:t>
            </w:r>
          </w:p>
          <w:p w:rsidR="0050122F" w:rsidRPr="005F36B9" w:rsidRDefault="0050122F" w:rsidP="0050122F">
            <w:pPr>
              <w:widowControl/>
              <w:jc w:val="center"/>
              <w:rPr>
                <w:spacing w:val="-4"/>
                <w:lang w:val="ru-RU"/>
              </w:rPr>
            </w:pPr>
            <w:r w:rsidRPr="005F36B9">
              <w:rPr>
                <w:spacing w:val="-4"/>
                <w:lang w:val="kk-KZ"/>
              </w:rPr>
              <w:t>(2.8-4.1)</w:t>
            </w:r>
          </w:p>
        </w:tc>
        <w:tc>
          <w:tcPr>
            <w:tcW w:w="1564" w:type="dxa"/>
            <w:shd w:val="clear" w:color="auto" w:fill="auto"/>
          </w:tcPr>
          <w:p w:rsidR="0050122F" w:rsidRPr="005F36B9" w:rsidRDefault="0050122F" w:rsidP="0050122F">
            <w:pPr>
              <w:widowControl/>
              <w:jc w:val="center"/>
              <w:rPr>
                <w:spacing w:val="-4"/>
                <w:lang w:val="ru-RU"/>
              </w:rPr>
            </w:pPr>
            <w:r w:rsidRPr="005F36B9">
              <w:rPr>
                <w:spacing w:val="-4"/>
                <w:lang w:val="kk-KZ"/>
              </w:rPr>
              <w:t>7.7</w:t>
            </w:r>
          </w:p>
          <w:p w:rsidR="0050122F" w:rsidRPr="005F36B9" w:rsidRDefault="0050122F" w:rsidP="0050122F">
            <w:pPr>
              <w:widowControl/>
              <w:jc w:val="center"/>
              <w:rPr>
                <w:spacing w:val="-4"/>
                <w:lang w:val="ru-RU"/>
              </w:rPr>
            </w:pPr>
            <w:r w:rsidRPr="005F36B9">
              <w:rPr>
                <w:spacing w:val="-4"/>
                <w:lang w:val="kk-KZ"/>
              </w:rPr>
              <w:t>(4.2-8.3)</w:t>
            </w:r>
          </w:p>
        </w:tc>
        <w:tc>
          <w:tcPr>
            <w:tcW w:w="1799" w:type="dxa"/>
            <w:shd w:val="clear" w:color="auto" w:fill="auto"/>
          </w:tcPr>
          <w:p w:rsidR="0050122F" w:rsidRPr="005F36B9" w:rsidRDefault="0050122F" w:rsidP="0050122F">
            <w:pPr>
              <w:widowControl/>
              <w:jc w:val="center"/>
              <w:rPr>
                <w:spacing w:val="-4"/>
                <w:lang w:val="ru-RU"/>
              </w:rPr>
            </w:pPr>
            <w:r w:rsidRPr="005F36B9">
              <w:rPr>
                <w:spacing w:val="-4"/>
                <w:lang w:val="kk-KZ"/>
              </w:rPr>
              <w:t>12.2</w:t>
            </w:r>
          </w:p>
          <w:p w:rsidR="0050122F" w:rsidRPr="005F36B9" w:rsidRDefault="0050122F" w:rsidP="0050122F">
            <w:pPr>
              <w:widowControl/>
              <w:jc w:val="center"/>
              <w:rPr>
                <w:spacing w:val="-4"/>
                <w:lang w:val="ru-RU"/>
              </w:rPr>
            </w:pPr>
            <w:r w:rsidRPr="005F36B9">
              <w:rPr>
                <w:spacing w:val="-4"/>
                <w:lang w:val="kk-KZ"/>
              </w:rPr>
              <w:t>(6.2-ne)</w:t>
            </w:r>
          </w:p>
        </w:tc>
        <w:tc>
          <w:tcPr>
            <w:tcW w:w="1695" w:type="dxa"/>
            <w:shd w:val="clear" w:color="auto" w:fill="auto"/>
          </w:tcPr>
          <w:p w:rsidR="0050122F" w:rsidRPr="005F36B9" w:rsidRDefault="0050122F" w:rsidP="0050122F">
            <w:pPr>
              <w:widowControl/>
              <w:jc w:val="center"/>
              <w:rPr>
                <w:spacing w:val="-4"/>
                <w:lang w:val="ru-RU"/>
              </w:rPr>
            </w:pPr>
            <w:r w:rsidRPr="005F36B9">
              <w:rPr>
                <w:spacing w:val="-4"/>
                <w:lang w:val="kk-KZ"/>
              </w:rPr>
              <w:t>13.6</w:t>
            </w:r>
          </w:p>
          <w:p w:rsidR="0050122F" w:rsidRPr="005F36B9" w:rsidRDefault="0050122F" w:rsidP="0050122F">
            <w:pPr>
              <w:widowControl/>
              <w:jc w:val="center"/>
              <w:rPr>
                <w:spacing w:val="-4"/>
                <w:lang w:val="ru-RU"/>
              </w:rPr>
            </w:pPr>
            <w:r w:rsidRPr="005F36B9">
              <w:rPr>
                <w:spacing w:val="-4"/>
                <w:lang w:val="kk-KZ"/>
              </w:rPr>
              <w:t>(11-16)</w:t>
            </w:r>
          </w:p>
        </w:tc>
      </w:tr>
      <w:tr w:rsidR="0050122F" w:rsidRPr="005F36B9" w:rsidTr="0050122F">
        <w:trPr>
          <w:trHeight w:val="1164"/>
        </w:trPr>
        <w:tc>
          <w:tcPr>
            <w:tcW w:w="2451" w:type="dxa"/>
            <w:shd w:val="clear" w:color="auto" w:fill="auto"/>
          </w:tcPr>
          <w:p w:rsidR="0050122F" w:rsidRPr="005F36B9" w:rsidRDefault="0050122F" w:rsidP="0050122F">
            <w:pPr>
              <w:widowControl/>
              <w:rPr>
                <w:b/>
                <w:spacing w:val="-4"/>
                <w:lang w:val="ru-RU"/>
              </w:rPr>
            </w:pPr>
            <w:r w:rsidRPr="005F36B9">
              <w:rPr>
                <w:b/>
                <w:spacing w:val="-4"/>
                <w:lang w:val="kk-KZ"/>
              </w:rPr>
              <w:t>Өміршеңдік медианасы (айлар)</w:t>
            </w:r>
            <w:r w:rsidRPr="005F36B9">
              <w:rPr>
                <w:b/>
                <w:spacing w:val="-4"/>
                <w:lang w:val="kk-KZ"/>
              </w:rPr>
              <w:br/>
              <w:t xml:space="preserve"> (95% СА)</w:t>
            </w:r>
          </w:p>
        </w:tc>
        <w:tc>
          <w:tcPr>
            <w:tcW w:w="1563" w:type="dxa"/>
            <w:shd w:val="clear" w:color="auto" w:fill="auto"/>
          </w:tcPr>
          <w:p w:rsidR="0050122F" w:rsidRPr="005F36B9" w:rsidRDefault="0050122F" w:rsidP="0050122F">
            <w:pPr>
              <w:jc w:val="center"/>
              <w:rPr>
                <w:spacing w:val="-4"/>
              </w:rPr>
            </w:pPr>
            <w:r w:rsidRPr="005F36B9">
              <w:rPr>
                <w:spacing w:val="-4"/>
                <w:lang w:val="kk-KZ"/>
              </w:rPr>
              <w:t>ne</w:t>
            </w:r>
          </w:p>
        </w:tc>
        <w:tc>
          <w:tcPr>
            <w:tcW w:w="1564" w:type="dxa"/>
            <w:shd w:val="clear" w:color="auto" w:fill="auto"/>
          </w:tcPr>
          <w:p w:rsidR="0050122F" w:rsidRPr="005F36B9" w:rsidRDefault="0050122F" w:rsidP="0050122F">
            <w:pPr>
              <w:jc w:val="center"/>
              <w:rPr>
                <w:spacing w:val="-4"/>
              </w:rPr>
            </w:pPr>
            <w:r w:rsidRPr="005F36B9">
              <w:rPr>
                <w:spacing w:val="-4"/>
                <w:lang w:val="kk-KZ"/>
              </w:rPr>
              <w:t>ne</w:t>
            </w:r>
          </w:p>
        </w:tc>
        <w:tc>
          <w:tcPr>
            <w:tcW w:w="1799" w:type="dxa"/>
            <w:shd w:val="clear" w:color="auto" w:fill="auto"/>
          </w:tcPr>
          <w:p w:rsidR="0050122F" w:rsidRPr="005F36B9" w:rsidRDefault="0050122F" w:rsidP="0050122F">
            <w:pPr>
              <w:jc w:val="center"/>
              <w:rPr>
                <w:spacing w:val="-4"/>
              </w:rPr>
            </w:pPr>
            <w:r w:rsidRPr="005F36B9">
              <w:rPr>
                <w:spacing w:val="-4"/>
                <w:lang w:val="kk-KZ"/>
              </w:rPr>
              <w:t>ne</w:t>
            </w:r>
          </w:p>
        </w:tc>
        <w:tc>
          <w:tcPr>
            <w:tcW w:w="1695" w:type="dxa"/>
            <w:shd w:val="clear" w:color="auto" w:fill="auto"/>
          </w:tcPr>
          <w:p w:rsidR="0050122F" w:rsidRPr="005F36B9" w:rsidRDefault="0050122F" w:rsidP="0050122F">
            <w:pPr>
              <w:pStyle w:val="Default"/>
              <w:jc w:val="center"/>
              <w:rPr>
                <w:color w:val="auto"/>
                <w:spacing w:val="-4"/>
              </w:rPr>
            </w:pPr>
            <w:r w:rsidRPr="005F36B9">
              <w:rPr>
                <w:color w:val="auto"/>
                <w:spacing w:val="-4"/>
                <w:lang w:val="kk-KZ"/>
              </w:rPr>
              <w:t>47.3</w:t>
            </w:r>
          </w:p>
          <w:p w:rsidR="0050122F" w:rsidRPr="005F36B9" w:rsidRDefault="0050122F" w:rsidP="0050122F">
            <w:pPr>
              <w:widowControl/>
              <w:jc w:val="center"/>
              <w:rPr>
                <w:spacing w:val="-4"/>
                <w:lang w:val="ru-RU"/>
              </w:rPr>
            </w:pPr>
            <w:r w:rsidRPr="005F36B9">
              <w:rPr>
                <w:spacing w:val="-4"/>
                <w:lang w:val="kk-KZ"/>
              </w:rPr>
              <w:t>(32-ne)</w:t>
            </w:r>
          </w:p>
        </w:tc>
      </w:tr>
    </w:tbl>
    <w:p w:rsidR="0050122F" w:rsidRPr="005F36B9" w:rsidRDefault="0050122F" w:rsidP="0050122F">
      <w:pPr>
        <w:widowControl/>
        <w:jc w:val="both"/>
        <w:rPr>
          <w:spacing w:val="-4"/>
        </w:rPr>
      </w:pPr>
      <w:r w:rsidRPr="005F36B9">
        <w:rPr>
          <w:spacing w:val="-4"/>
          <w:lang w:val="kk-KZ"/>
        </w:rPr>
        <w:t>TTP-прогрессияға дейінгі уақыт; «ne» мәні бағаланбағанын немесе оған қол жеткізілмегенін білдіреді</w:t>
      </w:r>
    </w:p>
    <w:p w:rsidR="0050122F" w:rsidRPr="005F36B9" w:rsidRDefault="0050122F" w:rsidP="0050122F">
      <w:pPr>
        <w:widowControl/>
        <w:jc w:val="both"/>
        <w:rPr>
          <w:spacing w:val="-4"/>
        </w:rPr>
      </w:pPr>
      <w:r w:rsidRPr="005F36B9">
        <w:rPr>
          <w:spacing w:val="-4"/>
          <w:lang w:val="kk-KZ"/>
        </w:rPr>
        <w:t>1. WО16229 зерттеуі: жүктемелік дозасы 8 мг/кг, содан кейін – үш апталық схема бойынша 6 мг/кг</w:t>
      </w:r>
    </w:p>
    <w:p w:rsidR="0050122F" w:rsidRPr="005F36B9" w:rsidRDefault="0050122F" w:rsidP="0050122F">
      <w:pPr>
        <w:widowControl/>
        <w:jc w:val="both"/>
        <w:rPr>
          <w:spacing w:val="-4"/>
        </w:rPr>
      </w:pPr>
      <w:r w:rsidRPr="005F36B9">
        <w:rPr>
          <w:spacing w:val="-4"/>
          <w:lang w:val="kk-KZ"/>
        </w:rPr>
        <w:t>2. МО16982 зерттеуі: жүктемелік дозасы үш апта бойы аптасына бір рет 6 мг/кг, содан кейін үш апталық схема бойынша 6 мг/кг</w:t>
      </w:r>
    </w:p>
    <w:p w:rsidR="0050122F" w:rsidRPr="005F36B9" w:rsidRDefault="0050122F" w:rsidP="0050122F">
      <w:pPr>
        <w:widowControl/>
        <w:jc w:val="both"/>
        <w:rPr>
          <w:spacing w:val="-4"/>
        </w:rPr>
      </w:pPr>
      <w:r w:rsidRPr="005F36B9">
        <w:rPr>
          <w:spacing w:val="-4"/>
          <w:lang w:val="kk-KZ"/>
        </w:rPr>
        <w:t>3. BO15935 зерттеуі</w:t>
      </w:r>
    </w:p>
    <w:p w:rsidR="0050122F" w:rsidRPr="005F36B9" w:rsidRDefault="0050122F" w:rsidP="0050122F">
      <w:pPr>
        <w:widowControl/>
        <w:jc w:val="both"/>
        <w:rPr>
          <w:spacing w:val="-4"/>
        </w:rPr>
      </w:pPr>
      <w:r w:rsidRPr="005F36B9">
        <w:rPr>
          <w:spacing w:val="-4"/>
          <w:lang w:val="kk-KZ"/>
        </w:rPr>
        <w:t>4. MO16419 зерттеуі</w:t>
      </w:r>
    </w:p>
    <w:p w:rsidR="0050122F" w:rsidRPr="005F36B9" w:rsidRDefault="0050122F" w:rsidP="0050122F">
      <w:pPr>
        <w:widowControl/>
        <w:jc w:val="both"/>
        <w:rPr>
          <w:i/>
          <w:spacing w:val="-4"/>
        </w:rPr>
      </w:pPr>
    </w:p>
    <w:p w:rsidR="0050122F" w:rsidRPr="005F36B9" w:rsidRDefault="0050122F" w:rsidP="0050122F">
      <w:pPr>
        <w:widowControl/>
        <w:jc w:val="both"/>
        <w:rPr>
          <w:i/>
          <w:spacing w:val="-4"/>
        </w:rPr>
      </w:pPr>
      <w:r w:rsidRPr="005F36B9">
        <w:rPr>
          <w:i/>
          <w:spacing w:val="-4"/>
          <w:lang w:val="kk-KZ"/>
        </w:rPr>
        <w:t>Үдемелі орындар</w:t>
      </w:r>
    </w:p>
    <w:p w:rsidR="0050122F" w:rsidRPr="005F36B9" w:rsidRDefault="0050122F" w:rsidP="0050122F">
      <w:pPr>
        <w:widowControl/>
        <w:jc w:val="both"/>
        <w:rPr>
          <w:rFonts w:ascii="Arial" w:hAnsi="Arial" w:cs="Arial"/>
          <w:spacing w:val="-4"/>
          <w:lang w:val="kk-KZ"/>
        </w:rPr>
      </w:pPr>
      <w:r w:rsidRPr="005F36B9">
        <w:rPr>
          <w:spacing w:val="-4"/>
          <w:lang w:val="kk-KZ"/>
        </w:rPr>
        <w:t xml:space="preserve">Паклитакселмен жүргізілетін монотерапиямен салыстырғанда </w:t>
      </w:r>
      <w:r w:rsidR="00EA5A5B" w:rsidRPr="005F36B9">
        <w:rPr>
          <w:spacing w:val="-4"/>
          <w:lang w:val="kk-KZ"/>
        </w:rPr>
        <w:t xml:space="preserve">трастузумаб </w:t>
      </w:r>
      <w:r w:rsidRPr="005F36B9">
        <w:rPr>
          <w:spacing w:val="-4"/>
          <w:lang w:val="kk-KZ"/>
        </w:rPr>
        <w:t xml:space="preserve">және паклитакселмен біріктірілген ем қабылдаған пациенттерде бауырдағы үдеудің жиілігі едәуір төмендеді (45.7%-бен салыстырғанда 21.8%; р=0.004). </w:t>
      </w:r>
      <w:r w:rsidR="00EA5A5B" w:rsidRPr="005F36B9">
        <w:rPr>
          <w:spacing w:val="-4"/>
          <w:lang w:val="kk-KZ"/>
        </w:rPr>
        <w:t xml:space="preserve">Трастузумаб </w:t>
      </w:r>
      <w:r w:rsidRPr="005F36B9">
        <w:rPr>
          <w:spacing w:val="-4"/>
          <w:lang w:val="kk-KZ"/>
        </w:rPr>
        <w:t xml:space="preserve">және </w:t>
      </w:r>
      <w:r w:rsidRPr="005F36B9">
        <w:rPr>
          <w:spacing w:val="-4"/>
          <w:lang w:val="kk-KZ"/>
        </w:rPr>
        <w:lastRenderedPageBreak/>
        <w:t>паклитакселмен біріктірілген ем қабылдаған пациенттерде паклитакселмен жүргізілетін монотерапияға қарағанда орталық жүйке жүйесінде үдеу жиі байқалды (6.5%-бен салыстырғанда 12.6%; р=0.377).</w:t>
      </w:r>
    </w:p>
    <w:p w:rsidR="0050122F" w:rsidRPr="005F36B9" w:rsidRDefault="0050122F" w:rsidP="0050122F">
      <w:pPr>
        <w:ind w:right="-20"/>
        <w:jc w:val="both"/>
        <w:rPr>
          <w:i/>
          <w:spacing w:val="-4"/>
          <w:u w:val="single"/>
          <w:lang w:val="ru-RU" w:eastAsia="ja-JP"/>
        </w:rPr>
      </w:pPr>
      <w:r w:rsidRPr="005F36B9">
        <w:rPr>
          <w:i/>
          <w:spacing w:val="-4"/>
          <w:u w:val="single"/>
          <w:lang w:val="kk-KZ" w:eastAsia="ja-JP"/>
        </w:rPr>
        <w:t>Сүт безінің ерте обыры (адъювантты режим)</w:t>
      </w:r>
    </w:p>
    <w:p w:rsidR="0050122F" w:rsidRPr="005F36B9" w:rsidRDefault="0050122F" w:rsidP="0050122F">
      <w:pPr>
        <w:ind w:right="-20"/>
        <w:jc w:val="both"/>
        <w:rPr>
          <w:i/>
          <w:spacing w:val="-4"/>
          <w:lang w:val="ru-RU" w:eastAsia="ja-JP"/>
        </w:rPr>
      </w:pPr>
      <w:r w:rsidRPr="005F36B9">
        <w:rPr>
          <w:i/>
          <w:spacing w:val="-4"/>
          <w:lang w:val="kk-KZ" w:eastAsia="ja-JP"/>
        </w:rPr>
        <w:t>Препараттың вена ішіне енгізуге арналған дәрілік түрі</w:t>
      </w:r>
    </w:p>
    <w:p w:rsidR="0050122F" w:rsidRPr="005F36B9" w:rsidRDefault="0050122F" w:rsidP="0050122F">
      <w:pPr>
        <w:widowControl/>
        <w:jc w:val="both"/>
        <w:rPr>
          <w:spacing w:val="-4"/>
          <w:lang w:val="ru-RU"/>
        </w:rPr>
      </w:pPr>
      <w:r w:rsidRPr="005F36B9">
        <w:rPr>
          <w:spacing w:val="-4"/>
          <w:lang w:val="kk-KZ"/>
        </w:rPr>
        <w:t>Сүт безінің ерте обыры сүт безінің метастаздық емес бастапқы инвазивті карциномасы ретінде анықталды.</w:t>
      </w:r>
    </w:p>
    <w:p w:rsidR="0050122F" w:rsidRPr="005F36B9" w:rsidRDefault="00EA5A5B" w:rsidP="0050122F">
      <w:pPr>
        <w:widowControl/>
        <w:jc w:val="both"/>
        <w:rPr>
          <w:spacing w:val="-4"/>
          <w:lang w:val="ru-RU"/>
        </w:rPr>
      </w:pPr>
      <w:r w:rsidRPr="005F36B9">
        <w:rPr>
          <w:spacing w:val="-4"/>
          <w:lang w:val="kk-KZ"/>
        </w:rPr>
        <w:t xml:space="preserve">Трастузумабты </w:t>
      </w:r>
      <w:r w:rsidR="0050122F" w:rsidRPr="005F36B9">
        <w:rPr>
          <w:spacing w:val="-4"/>
          <w:lang w:val="kk-KZ"/>
        </w:rPr>
        <w:t>адъювантты режимде қолдану 4 ірі көп орталықты рандомизацияланған зерттеулерде зерттелген.</w:t>
      </w:r>
    </w:p>
    <w:p w:rsidR="0050122F" w:rsidRPr="005F36B9" w:rsidRDefault="0050122F" w:rsidP="00EA5A5B">
      <w:pPr>
        <w:pStyle w:val="a6"/>
        <w:widowControl/>
        <w:numPr>
          <w:ilvl w:val="0"/>
          <w:numId w:val="4"/>
        </w:numPr>
        <w:autoSpaceDE/>
        <w:autoSpaceDN/>
        <w:adjustRightInd/>
        <w:contextualSpacing/>
        <w:jc w:val="both"/>
        <w:rPr>
          <w:spacing w:val="-4"/>
          <w:lang w:val="kk-KZ"/>
        </w:rPr>
      </w:pPr>
      <w:r w:rsidRPr="005F36B9">
        <w:rPr>
          <w:spacing w:val="-4"/>
          <w:lang w:val="kk-KZ"/>
        </w:rPr>
        <w:t xml:space="preserve">ВО16348 зерттеуі бір жыл және екі жыл бойы </w:t>
      </w:r>
      <w:r w:rsidR="00EA5A5B" w:rsidRPr="005F36B9">
        <w:rPr>
          <w:spacing w:val="-4"/>
          <w:lang w:val="kk-KZ"/>
        </w:rPr>
        <w:t xml:space="preserve">трастузумабпен </w:t>
      </w:r>
      <w:r w:rsidRPr="005F36B9">
        <w:rPr>
          <w:spacing w:val="-4"/>
          <w:lang w:val="kk-KZ"/>
        </w:rPr>
        <w:t xml:space="preserve">жүргізілген үш апталық емнің нәтижелерін және хирургиялық араласым, стандартты химиотерапия және сәулемен емдеу (егер қатысы болса) жүргізілгеннен кейін НЕR2-оң СБеО-ға шалдыққан пациенттерді бақылау нәтижелерін салыстыруға бағытталған. Сонымен қатар, </w:t>
      </w:r>
      <w:r w:rsidR="00EA5A5B" w:rsidRPr="005F36B9">
        <w:rPr>
          <w:spacing w:val="-4"/>
          <w:lang w:val="kk-KZ"/>
        </w:rPr>
        <w:t xml:space="preserve">трастузумабпен </w:t>
      </w:r>
      <w:r w:rsidRPr="005F36B9">
        <w:rPr>
          <w:spacing w:val="-4"/>
          <w:lang w:val="kk-KZ"/>
        </w:rPr>
        <w:t xml:space="preserve">емдеудің нәтижелеріне екі жыл және бір жыл ішінде салыстыру жүргізілді. </w:t>
      </w:r>
      <w:r w:rsidR="00EA5A5B" w:rsidRPr="005F36B9">
        <w:rPr>
          <w:spacing w:val="-4"/>
          <w:lang w:val="kk-KZ"/>
        </w:rPr>
        <w:t>Трастузумабты</w:t>
      </w:r>
      <w:r w:rsidRPr="005F36B9">
        <w:rPr>
          <w:spacing w:val="-4"/>
          <w:lang w:val="kk-KZ"/>
        </w:rPr>
        <w:t>ң бастапқы жүктемелік дозасы 8 мг/кг құрады, кейіннен бір жыл немесе екі жыл бойы әрбір 3 апта сайын 6 мг/кг доза енгізілді</w:t>
      </w:r>
    </w:p>
    <w:p w:rsidR="0050122F" w:rsidRPr="005F36B9" w:rsidRDefault="0050122F" w:rsidP="00EA5A5B">
      <w:pPr>
        <w:pStyle w:val="a6"/>
        <w:widowControl/>
        <w:numPr>
          <w:ilvl w:val="0"/>
          <w:numId w:val="4"/>
        </w:numPr>
        <w:autoSpaceDE/>
        <w:autoSpaceDN/>
        <w:adjustRightInd/>
        <w:contextualSpacing/>
        <w:jc w:val="both"/>
        <w:rPr>
          <w:spacing w:val="-4"/>
          <w:lang w:val="kk-KZ"/>
        </w:rPr>
      </w:pPr>
      <w:r w:rsidRPr="005F36B9">
        <w:rPr>
          <w:spacing w:val="-4"/>
          <w:lang w:val="kk-KZ"/>
        </w:rPr>
        <w:t xml:space="preserve">Бірлескен талдауды қамтитын NSABP В-31 және NCCTG N9831 зерттеулері АС схемасы бойынша химиотерапиядан кейін </w:t>
      </w:r>
      <w:r w:rsidR="00EA5A5B" w:rsidRPr="005F36B9">
        <w:rPr>
          <w:spacing w:val="-4"/>
          <w:lang w:val="kk-KZ"/>
        </w:rPr>
        <w:t>трастузумаб</w:t>
      </w:r>
      <w:r w:rsidRPr="005F36B9">
        <w:rPr>
          <w:spacing w:val="-4"/>
          <w:lang w:val="kk-KZ"/>
        </w:rPr>
        <w:t xml:space="preserve"> және паклитакселмен біріктірілген емді қолданудың клиникалық орындылығын зерттеуге бағытталды, қосымша түрде NCCTG N9831 зерттеуінде хирургиялық араласым жүргізілгеннен кейін НЕR2-оң СБеО-ға шалдыққан пациенттерде AC→P схемасы бойынша химиотерапияға </w:t>
      </w:r>
      <w:r w:rsidR="00EA5A5B" w:rsidRPr="005F36B9">
        <w:rPr>
          <w:spacing w:val="-4"/>
          <w:lang w:val="kk-KZ"/>
        </w:rPr>
        <w:t>трастузумабт</w:t>
      </w:r>
      <w:r w:rsidRPr="005F36B9">
        <w:rPr>
          <w:spacing w:val="-4"/>
          <w:lang w:val="kk-KZ"/>
        </w:rPr>
        <w:t>ың жүйелі қосылуы зерттелді.</w:t>
      </w:r>
    </w:p>
    <w:p w:rsidR="0050122F" w:rsidRPr="005F36B9" w:rsidRDefault="0050122F" w:rsidP="00EA5A5B">
      <w:pPr>
        <w:pStyle w:val="a6"/>
        <w:widowControl/>
        <w:numPr>
          <w:ilvl w:val="0"/>
          <w:numId w:val="4"/>
        </w:numPr>
        <w:autoSpaceDE/>
        <w:autoSpaceDN/>
        <w:adjustRightInd/>
        <w:contextualSpacing/>
        <w:jc w:val="both"/>
        <w:rPr>
          <w:spacing w:val="-4"/>
          <w:lang w:val="kk-KZ"/>
        </w:rPr>
      </w:pPr>
      <w:r w:rsidRPr="005F36B9">
        <w:rPr>
          <w:spacing w:val="-4"/>
          <w:lang w:val="kk-KZ"/>
        </w:rPr>
        <w:t xml:space="preserve">BCIRG 006 зерттеуі хирургиялық араласым жүргізілгеннен кейін НЕR2-оң СБеО-ға шалдыққан пациенттерде АС схемасы бойынша химиотерапиядан кейін </w:t>
      </w:r>
      <w:r w:rsidR="00EA5A5B" w:rsidRPr="005F36B9">
        <w:rPr>
          <w:spacing w:val="-4"/>
          <w:lang w:val="kk-KZ"/>
        </w:rPr>
        <w:t>трастузумаб және д</w:t>
      </w:r>
      <w:r w:rsidRPr="005F36B9">
        <w:rPr>
          <w:spacing w:val="-4"/>
          <w:lang w:val="kk-KZ"/>
        </w:rPr>
        <w:t>оцетаксел біріктірілген емнің немесе доцетакселмен және карбоплатинмен біріктірілімнің тиімділігін зерттеуге бағытталған.</w:t>
      </w:r>
    </w:p>
    <w:p w:rsidR="0050122F" w:rsidRPr="005F36B9" w:rsidRDefault="0050122F" w:rsidP="0050122F">
      <w:pPr>
        <w:widowControl/>
        <w:jc w:val="both"/>
        <w:rPr>
          <w:spacing w:val="-4"/>
          <w:lang w:val="kk-KZ"/>
        </w:rPr>
      </w:pPr>
      <w:r w:rsidRPr="005F36B9">
        <w:rPr>
          <w:spacing w:val="-4"/>
          <w:lang w:val="kk-KZ"/>
        </w:rPr>
        <w:t>ВО16348 зерттеуіндегі сүт безінің ерте обыры қолтықасты лимфатүйіндерінің қатысуымен немесе онсыз, егер ісіктің өлшемі диаметрінде кемінде 1 см болса,сүт безінің операбельді, инвазивті бастапқы аденокарциномасымен шектелді.</w:t>
      </w:r>
    </w:p>
    <w:p w:rsidR="0050122F" w:rsidRPr="005F36B9" w:rsidRDefault="0050122F" w:rsidP="0050122F">
      <w:pPr>
        <w:widowControl/>
        <w:jc w:val="both"/>
        <w:rPr>
          <w:spacing w:val="-4"/>
          <w:lang w:val="kk-KZ"/>
        </w:rPr>
      </w:pPr>
      <w:r w:rsidRPr="005F36B9">
        <w:rPr>
          <w:spacing w:val="-4"/>
          <w:lang w:val="kk-KZ"/>
        </w:rPr>
        <w:t>NSABP В-31 және NCCTG N9831 СБеО зерттеулерін бірлесіп талдауға қолтықасты лимфатүйіндерінің қатысуымен НЕR2-оң немесе қолтықасты лимфатүйіндерінің қатысуынсыз НЕR2-оң ретінде анықталатын, қауіп дәрежесі жоғары (ісіктің көлемі &gt;1 см, теріс эстроген-рецепторлық статус немесе ісіктің көлемі &gt;2 см, гормон-рецепторлық статусқа қарамастан) операция жасауға болатын СБО-ға шалдыққан әйелдер ғана қосылған болатын.</w:t>
      </w:r>
    </w:p>
    <w:p w:rsidR="0050122F" w:rsidRPr="005F36B9" w:rsidRDefault="0050122F" w:rsidP="0050122F">
      <w:pPr>
        <w:widowControl/>
        <w:jc w:val="both"/>
        <w:rPr>
          <w:spacing w:val="-4"/>
          <w:lang w:val="kk-KZ"/>
        </w:rPr>
      </w:pPr>
      <w:r w:rsidRPr="005F36B9">
        <w:rPr>
          <w:spacing w:val="-4"/>
          <w:lang w:val="kk-KZ"/>
        </w:rPr>
        <w:t>BCIRG 006 зерттеуінде HER2-оң СБеО-ға шалдыққан пациенттерде лимфатүйіндері тарапынан реакцияның болуы немесе оларды жоғары қауіпті метастаздық процесске (pNO) тартпай және келесі факторлардың кем дегенде біреуінің болуы ретінде анықталды: ісіктің көлемі 2 см-ден асады, теріс эстроген- және прогестерон-рецепторлық статус, гистологиялық дифференциация дәрежесі және/немесе 2-3 ядролардың полиморфизм дәрежесі немесе &lt;35 жас.</w:t>
      </w:r>
    </w:p>
    <w:p w:rsidR="0050122F" w:rsidRPr="005F36B9" w:rsidRDefault="0050122F" w:rsidP="0050122F">
      <w:pPr>
        <w:widowControl/>
        <w:jc w:val="both"/>
        <w:rPr>
          <w:spacing w:val="-4"/>
          <w:lang w:val="kk-KZ"/>
        </w:rPr>
      </w:pPr>
      <w:r w:rsidRPr="005F36B9">
        <w:rPr>
          <w:spacing w:val="-4"/>
          <w:lang w:val="kk-KZ"/>
        </w:rPr>
        <w:t>ВО16348 зерттеуінде алынған тиімділік нәтижелері (кейінгі бақылаулардың мед</w:t>
      </w:r>
      <w:r w:rsidR="00354BC2" w:rsidRPr="005F36B9">
        <w:rPr>
          <w:spacing w:val="-4"/>
          <w:lang w:val="kk-KZ"/>
        </w:rPr>
        <w:t xml:space="preserve">ианасы - 12 ай* және 8 жыл**) 5 </w:t>
      </w:r>
      <w:r w:rsidRPr="005F36B9">
        <w:rPr>
          <w:spacing w:val="-4"/>
          <w:lang w:val="kk-KZ"/>
        </w:rPr>
        <w:t>кестеде жинақталған:</w:t>
      </w:r>
    </w:p>
    <w:p w:rsidR="0050122F" w:rsidRPr="005F36B9" w:rsidRDefault="0050122F" w:rsidP="0050122F">
      <w:pPr>
        <w:widowControl/>
        <w:jc w:val="both"/>
        <w:rPr>
          <w:b/>
          <w:spacing w:val="-4"/>
          <w:lang w:val="kk-KZ"/>
        </w:rPr>
      </w:pPr>
    </w:p>
    <w:p w:rsidR="0050122F" w:rsidRPr="005F36B9" w:rsidRDefault="00354BC2" w:rsidP="0050122F">
      <w:pPr>
        <w:widowControl/>
        <w:jc w:val="both"/>
        <w:rPr>
          <w:b/>
          <w:spacing w:val="-4"/>
          <w:lang w:val="kk-KZ"/>
        </w:rPr>
      </w:pPr>
      <w:r w:rsidRPr="005F36B9">
        <w:rPr>
          <w:b/>
          <w:spacing w:val="-4"/>
          <w:lang w:val="kk-KZ"/>
        </w:rPr>
        <w:t xml:space="preserve">5 </w:t>
      </w:r>
      <w:r w:rsidR="0050122F" w:rsidRPr="005F36B9">
        <w:rPr>
          <w:b/>
          <w:spacing w:val="-4"/>
          <w:lang w:val="kk-KZ"/>
        </w:rPr>
        <w:t xml:space="preserve">кесте. ВО16348 зерттеуінде алынған тиімділік нәтижелері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701"/>
        <w:gridCol w:w="1701"/>
        <w:gridCol w:w="1559"/>
        <w:gridCol w:w="1809"/>
      </w:tblGrid>
      <w:tr w:rsidR="0050122F" w:rsidRPr="005F36B9" w:rsidTr="0050122F">
        <w:tc>
          <w:tcPr>
            <w:tcW w:w="2302" w:type="dxa"/>
            <w:tcBorders>
              <w:top w:val="single" w:sz="4" w:space="0" w:color="auto"/>
              <w:left w:val="single" w:sz="4" w:space="0" w:color="auto"/>
            </w:tcBorders>
            <w:shd w:val="clear" w:color="auto" w:fill="auto"/>
          </w:tcPr>
          <w:p w:rsidR="0050122F" w:rsidRPr="005F36B9" w:rsidRDefault="0050122F" w:rsidP="0050122F">
            <w:pPr>
              <w:widowControl/>
              <w:jc w:val="both"/>
              <w:rPr>
                <w:b/>
                <w:spacing w:val="-4"/>
                <w:lang w:val="kk-KZ"/>
              </w:rPr>
            </w:pPr>
          </w:p>
        </w:tc>
        <w:tc>
          <w:tcPr>
            <w:tcW w:w="3402" w:type="dxa"/>
            <w:gridSpan w:val="2"/>
            <w:tcBorders>
              <w:top w:val="single" w:sz="4" w:space="0" w:color="auto"/>
            </w:tcBorders>
            <w:shd w:val="clear" w:color="auto" w:fill="auto"/>
          </w:tcPr>
          <w:p w:rsidR="0050122F" w:rsidRPr="005F36B9" w:rsidRDefault="0050122F" w:rsidP="0050122F">
            <w:pPr>
              <w:widowControl/>
              <w:jc w:val="center"/>
              <w:rPr>
                <w:spacing w:val="-4"/>
                <w:lang w:val="ru-RU"/>
              </w:rPr>
            </w:pPr>
            <w:r w:rsidRPr="005F36B9">
              <w:rPr>
                <w:spacing w:val="-4"/>
                <w:lang w:val="kk-KZ"/>
              </w:rPr>
              <w:t>Кейінгі бақылау медианасы</w:t>
            </w:r>
          </w:p>
          <w:p w:rsidR="0050122F" w:rsidRPr="005F36B9" w:rsidRDefault="0050122F" w:rsidP="0050122F">
            <w:pPr>
              <w:widowControl/>
              <w:jc w:val="center"/>
              <w:rPr>
                <w:b/>
                <w:spacing w:val="-4"/>
                <w:lang w:val="ru-RU"/>
              </w:rPr>
            </w:pPr>
            <w:r w:rsidRPr="005F36B9">
              <w:rPr>
                <w:spacing w:val="-4"/>
                <w:lang w:val="kk-KZ"/>
              </w:rPr>
              <w:t>12 ай*</w:t>
            </w:r>
          </w:p>
        </w:tc>
        <w:tc>
          <w:tcPr>
            <w:tcW w:w="3368" w:type="dxa"/>
            <w:gridSpan w:val="2"/>
            <w:shd w:val="clear" w:color="auto" w:fill="auto"/>
          </w:tcPr>
          <w:p w:rsidR="0050122F" w:rsidRPr="005F36B9" w:rsidRDefault="0050122F" w:rsidP="0050122F">
            <w:pPr>
              <w:widowControl/>
              <w:jc w:val="center"/>
              <w:rPr>
                <w:spacing w:val="-4"/>
                <w:lang w:val="ru-RU"/>
              </w:rPr>
            </w:pPr>
            <w:r w:rsidRPr="005F36B9">
              <w:rPr>
                <w:spacing w:val="-4"/>
                <w:lang w:val="kk-KZ"/>
              </w:rPr>
              <w:t>Кейінгі бақылау медианасы</w:t>
            </w:r>
          </w:p>
          <w:p w:rsidR="0050122F" w:rsidRPr="005F36B9" w:rsidRDefault="0050122F" w:rsidP="0050122F">
            <w:pPr>
              <w:widowControl/>
              <w:jc w:val="center"/>
              <w:rPr>
                <w:b/>
                <w:spacing w:val="-4"/>
                <w:lang w:val="ru-RU"/>
              </w:rPr>
            </w:pPr>
            <w:r w:rsidRPr="005F36B9">
              <w:rPr>
                <w:spacing w:val="-4"/>
                <w:lang w:val="kk-KZ"/>
              </w:rPr>
              <w:t>8 жыл**</w:t>
            </w:r>
          </w:p>
        </w:tc>
      </w:tr>
      <w:tr w:rsidR="0050122F" w:rsidRPr="005F36B9" w:rsidTr="0050122F">
        <w:tc>
          <w:tcPr>
            <w:tcW w:w="2302" w:type="dxa"/>
            <w:tcBorders>
              <w:bottom w:val="single" w:sz="4" w:space="0" w:color="auto"/>
            </w:tcBorders>
            <w:shd w:val="clear" w:color="auto" w:fill="auto"/>
          </w:tcPr>
          <w:p w:rsidR="0050122F" w:rsidRPr="005F36B9" w:rsidRDefault="0050122F" w:rsidP="0050122F">
            <w:pPr>
              <w:widowControl/>
              <w:jc w:val="both"/>
              <w:rPr>
                <w:b/>
                <w:spacing w:val="-4"/>
                <w:lang w:val="ru-RU"/>
              </w:rPr>
            </w:pPr>
            <w:r w:rsidRPr="005F36B9">
              <w:rPr>
                <w:spacing w:val="-4"/>
                <w:lang w:val="kk-KZ"/>
              </w:rPr>
              <w:t>Параметр</w:t>
            </w:r>
          </w:p>
        </w:tc>
        <w:tc>
          <w:tcPr>
            <w:tcW w:w="1701" w:type="dxa"/>
            <w:tcBorders>
              <w:bottom w:val="single" w:sz="4" w:space="0" w:color="auto"/>
            </w:tcBorders>
            <w:shd w:val="clear" w:color="auto" w:fill="auto"/>
          </w:tcPr>
          <w:p w:rsidR="0050122F" w:rsidRPr="005F36B9" w:rsidRDefault="0050122F" w:rsidP="0050122F">
            <w:pPr>
              <w:widowControl/>
              <w:jc w:val="center"/>
              <w:rPr>
                <w:spacing w:val="-4"/>
                <w:lang w:val="ru-RU"/>
              </w:rPr>
            </w:pPr>
            <w:r w:rsidRPr="005F36B9">
              <w:rPr>
                <w:spacing w:val="-4"/>
                <w:lang w:val="kk-KZ"/>
              </w:rPr>
              <w:t>Бақылау</w:t>
            </w:r>
          </w:p>
          <w:p w:rsidR="0050122F" w:rsidRPr="005F36B9" w:rsidRDefault="0050122F" w:rsidP="0050122F">
            <w:pPr>
              <w:widowControl/>
              <w:jc w:val="center"/>
              <w:rPr>
                <w:spacing w:val="-4"/>
                <w:lang w:val="ru-RU"/>
              </w:rPr>
            </w:pPr>
          </w:p>
          <w:p w:rsidR="0050122F" w:rsidRPr="005F36B9" w:rsidRDefault="0050122F" w:rsidP="0050122F">
            <w:pPr>
              <w:widowControl/>
              <w:jc w:val="center"/>
              <w:rPr>
                <w:spacing w:val="-4"/>
                <w:lang w:val="ru-RU"/>
              </w:rPr>
            </w:pPr>
          </w:p>
          <w:p w:rsidR="0050122F" w:rsidRPr="005F36B9" w:rsidRDefault="0050122F" w:rsidP="0050122F">
            <w:pPr>
              <w:widowControl/>
              <w:jc w:val="center"/>
              <w:rPr>
                <w:b/>
                <w:spacing w:val="-4"/>
                <w:lang w:val="ru-RU"/>
              </w:rPr>
            </w:pPr>
            <w:r w:rsidRPr="005F36B9">
              <w:rPr>
                <w:spacing w:val="-4"/>
                <w:lang w:val="kk-KZ"/>
              </w:rPr>
              <w:t>N=1693</w:t>
            </w:r>
          </w:p>
        </w:tc>
        <w:tc>
          <w:tcPr>
            <w:tcW w:w="1701" w:type="dxa"/>
            <w:tcBorders>
              <w:bottom w:val="single" w:sz="4" w:space="0" w:color="auto"/>
            </w:tcBorders>
            <w:shd w:val="clear" w:color="auto" w:fill="auto"/>
          </w:tcPr>
          <w:p w:rsidR="0050122F" w:rsidRPr="005F36B9" w:rsidRDefault="00DF40E8" w:rsidP="0050122F">
            <w:pPr>
              <w:widowControl/>
              <w:jc w:val="center"/>
              <w:rPr>
                <w:spacing w:val="-4"/>
                <w:lang w:val="ru-RU"/>
              </w:rPr>
            </w:pPr>
            <w:r w:rsidRPr="005F36B9">
              <w:rPr>
                <w:spacing w:val="-4"/>
                <w:lang w:val="kk-KZ"/>
              </w:rPr>
              <w:t>Трастузумаб</w:t>
            </w:r>
            <w:r w:rsidR="0050122F" w:rsidRPr="005F36B9">
              <w:rPr>
                <w:spacing w:val="-4"/>
                <w:lang w:val="kk-KZ"/>
              </w:rPr>
              <w:t xml:space="preserve"> 1 жыл ішінде</w:t>
            </w:r>
          </w:p>
          <w:p w:rsidR="0050122F" w:rsidRPr="005F36B9" w:rsidRDefault="0050122F" w:rsidP="0050122F">
            <w:pPr>
              <w:widowControl/>
              <w:jc w:val="center"/>
              <w:rPr>
                <w:spacing w:val="-4"/>
                <w:lang w:val="ru-RU"/>
              </w:rPr>
            </w:pPr>
          </w:p>
          <w:p w:rsidR="0050122F" w:rsidRPr="005F36B9" w:rsidRDefault="0050122F" w:rsidP="0050122F">
            <w:pPr>
              <w:widowControl/>
              <w:jc w:val="center"/>
              <w:rPr>
                <w:b/>
                <w:spacing w:val="-4"/>
                <w:lang w:val="ru-RU"/>
              </w:rPr>
            </w:pPr>
            <w:r w:rsidRPr="005F36B9">
              <w:rPr>
                <w:spacing w:val="-4"/>
                <w:lang w:val="kk-KZ"/>
              </w:rPr>
              <w:t>N=1693</w:t>
            </w:r>
          </w:p>
        </w:tc>
        <w:tc>
          <w:tcPr>
            <w:tcW w:w="1559" w:type="dxa"/>
            <w:tcBorders>
              <w:bottom w:val="single" w:sz="4" w:space="0" w:color="auto"/>
            </w:tcBorders>
            <w:shd w:val="clear" w:color="auto" w:fill="auto"/>
          </w:tcPr>
          <w:p w:rsidR="0050122F" w:rsidRPr="005F36B9" w:rsidRDefault="0050122F" w:rsidP="0050122F">
            <w:pPr>
              <w:widowControl/>
              <w:jc w:val="center"/>
              <w:rPr>
                <w:spacing w:val="-4"/>
                <w:lang w:val="ru-RU"/>
              </w:rPr>
            </w:pPr>
            <w:r w:rsidRPr="005F36B9">
              <w:rPr>
                <w:spacing w:val="-4"/>
                <w:lang w:val="kk-KZ"/>
              </w:rPr>
              <w:t>Бақылау</w:t>
            </w:r>
          </w:p>
          <w:p w:rsidR="0050122F" w:rsidRPr="005F36B9" w:rsidRDefault="0050122F" w:rsidP="0050122F">
            <w:pPr>
              <w:widowControl/>
              <w:jc w:val="center"/>
              <w:rPr>
                <w:spacing w:val="-4"/>
                <w:lang w:val="ru-RU"/>
              </w:rPr>
            </w:pPr>
          </w:p>
          <w:p w:rsidR="0050122F" w:rsidRPr="005F36B9" w:rsidRDefault="0050122F" w:rsidP="0050122F">
            <w:pPr>
              <w:widowControl/>
              <w:jc w:val="center"/>
              <w:rPr>
                <w:spacing w:val="-4"/>
                <w:lang w:val="ru-RU"/>
              </w:rPr>
            </w:pPr>
          </w:p>
          <w:p w:rsidR="0050122F" w:rsidRPr="005F36B9" w:rsidRDefault="0050122F" w:rsidP="0050122F">
            <w:pPr>
              <w:widowControl/>
              <w:jc w:val="center"/>
              <w:rPr>
                <w:b/>
                <w:spacing w:val="-4"/>
                <w:lang w:val="ru-RU"/>
              </w:rPr>
            </w:pPr>
            <w:r w:rsidRPr="005F36B9">
              <w:rPr>
                <w:spacing w:val="-4"/>
                <w:lang w:val="kk-KZ"/>
              </w:rPr>
              <w:t>N=1697***</w:t>
            </w:r>
          </w:p>
        </w:tc>
        <w:tc>
          <w:tcPr>
            <w:tcW w:w="1809" w:type="dxa"/>
            <w:tcBorders>
              <w:bottom w:val="single" w:sz="4" w:space="0" w:color="auto"/>
            </w:tcBorders>
            <w:shd w:val="clear" w:color="auto" w:fill="auto"/>
          </w:tcPr>
          <w:p w:rsidR="0050122F" w:rsidRPr="005F36B9" w:rsidRDefault="00DF40E8" w:rsidP="0050122F">
            <w:pPr>
              <w:widowControl/>
              <w:jc w:val="center"/>
              <w:rPr>
                <w:spacing w:val="-4"/>
                <w:lang w:val="ru-RU"/>
              </w:rPr>
            </w:pPr>
            <w:r w:rsidRPr="005F36B9">
              <w:rPr>
                <w:spacing w:val="-4"/>
                <w:lang w:val="kk-KZ"/>
              </w:rPr>
              <w:t>Трастузумаб</w:t>
            </w:r>
            <w:r w:rsidR="0050122F" w:rsidRPr="005F36B9">
              <w:rPr>
                <w:spacing w:val="-4"/>
                <w:lang w:val="kk-KZ"/>
              </w:rPr>
              <w:t xml:space="preserve"> 1 жыл ішінде</w:t>
            </w:r>
          </w:p>
          <w:p w:rsidR="0050122F" w:rsidRPr="005F36B9" w:rsidRDefault="0050122F" w:rsidP="0050122F">
            <w:pPr>
              <w:widowControl/>
              <w:jc w:val="center"/>
              <w:rPr>
                <w:spacing w:val="-4"/>
                <w:lang w:val="ru-RU"/>
              </w:rPr>
            </w:pPr>
          </w:p>
          <w:p w:rsidR="0050122F" w:rsidRPr="005F36B9" w:rsidRDefault="0050122F" w:rsidP="0050122F">
            <w:pPr>
              <w:widowControl/>
              <w:jc w:val="center"/>
              <w:rPr>
                <w:b/>
                <w:spacing w:val="-4"/>
                <w:lang w:val="ru-RU"/>
              </w:rPr>
            </w:pPr>
            <w:r w:rsidRPr="005F36B9">
              <w:rPr>
                <w:spacing w:val="-4"/>
                <w:lang w:val="kk-KZ"/>
              </w:rPr>
              <w:t>N=1702***</w:t>
            </w:r>
          </w:p>
        </w:tc>
      </w:tr>
      <w:tr w:rsidR="0050122F" w:rsidRPr="005F36B9" w:rsidTr="0050122F">
        <w:tc>
          <w:tcPr>
            <w:tcW w:w="2302" w:type="dxa"/>
            <w:tcBorders>
              <w:bottom w:val="nil"/>
            </w:tcBorders>
            <w:shd w:val="clear" w:color="auto" w:fill="auto"/>
          </w:tcPr>
          <w:p w:rsidR="0050122F" w:rsidRPr="005F36B9" w:rsidRDefault="0050122F" w:rsidP="0050122F">
            <w:pPr>
              <w:widowControl/>
              <w:rPr>
                <w:b/>
                <w:spacing w:val="-4"/>
                <w:lang w:val="ru-RU"/>
              </w:rPr>
            </w:pPr>
            <w:r w:rsidRPr="005F36B9">
              <w:rPr>
                <w:spacing w:val="-4"/>
                <w:lang w:val="kk-KZ"/>
              </w:rPr>
              <w:lastRenderedPageBreak/>
              <w:t>Ауру белгілері жоқ өміршеңдік</w:t>
            </w:r>
          </w:p>
        </w:tc>
        <w:tc>
          <w:tcPr>
            <w:tcW w:w="1701" w:type="dxa"/>
            <w:tcBorders>
              <w:bottom w:val="nil"/>
              <w:right w:val="nil"/>
            </w:tcBorders>
            <w:shd w:val="clear" w:color="auto" w:fill="auto"/>
          </w:tcPr>
          <w:p w:rsidR="0050122F" w:rsidRPr="005F36B9" w:rsidRDefault="0050122F" w:rsidP="0050122F">
            <w:pPr>
              <w:widowControl/>
              <w:jc w:val="center"/>
              <w:rPr>
                <w:spacing w:val="-4"/>
                <w:lang w:val="ru-RU"/>
              </w:rPr>
            </w:pPr>
          </w:p>
        </w:tc>
        <w:tc>
          <w:tcPr>
            <w:tcW w:w="1701" w:type="dxa"/>
            <w:tcBorders>
              <w:left w:val="nil"/>
              <w:bottom w:val="nil"/>
              <w:right w:val="nil"/>
            </w:tcBorders>
            <w:shd w:val="clear" w:color="auto" w:fill="auto"/>
          </w:tcPr>
          <w:p w:rsidR="0050122F" w:rsidRPr="005F36B9" w:rsidRDefault="0050122F" w:rsidP="0050122F">
            <w:pPr>
              <w:widowControl/>
              <w:jc w:val="center"/>
              <w:rPr>
                <w:spacing w:val="-4"/>
                <w:lang w:val="ru-RU"/>
              </w:rPr>
            </w:pPr>
          </w:p>
        </w:tc>
        <w:tc>
          <w:tcPr>
            <w:tcW w:w="1559" w:type="dxa"/>
            <w:tcBorders>
              <w:left w:val="nil"/>
              <w:bottom w:val="nil"/>
              <w:right w:val="nil"/>
            </w:tcBorders>
            <w:shd w:val="clear" w:color="auto" w:fill="auto"/>
          </w:tcPr>
          <w:p w:rsidR="0050122F" w:rsidRPr="005F36B9" w:rsidRDefault="0050122F" w:rsidP="0050122F">
            <w:pPr>
              <w:widowControl/>
              <w:jc w:val="center"/>
              <w:rPr>
                <w:spacing w:val="-4"/>
                <w:lang w:val="ru-RU"/>
              </w:rPr>
            </w:pPr>
          </w:p>
        </w:tc>
        <w:tc>
          <w:tcPr>
            <w:tcW w:w="1809" w:type="dxa"/>
            <w:tcBorders>
              <w:left w:val="nil"/>
              <w:bottom w:val="nil"/>
            </w:tcBorders>
            <w:shd w:val="clear" w:color="auto" w:fill="auto"/>
          </w:tcPr>
          <w:p w:rsidR="0050122F" w:rsidRPr="005F36B9" w:rsidRDefault="0050122F" w:rsidP="0050122F">
            <w:pPr>
              <w:widowControl/>
              <w:jc w:val="center"/>
              <w:rPr>
                <w:spacing w:val="-4"/>
                <w:lang w:val="ru-RU"/>
              </w:rPr>
            </w:pPr>
          </w:p>
        </w:tc>
      </w:tr>
      <w:tr w:rsidR="0050122F" w:rsidRPr="005F36B9" w:rsidTr="0050122F">
        <w:tc>
          <w:tcPr>
            <w:tcW w:w="2302" w:type="dxa"/>
            <w:tcBorders>
              <w:top w:val="nil"/>
              <w:bottom w:val="nil"/>
            </w:tcBorders>
            <w:shd w:val="clear" w:color="auto" w:fill="auto"/>
          </w:tcPr>
          <w:p w:rsidR="0050122F" w:rsidRPr="005F36B9" w:rsidRDefault="0050122F" w:rsidP="0050122F">
            <w:pPr>
              <w:widowControl/>
              <w:rPr>
                <w:spacing w:val="-4"/>
                <w:lang w:val="ru-RU"/>
              </w:rPr>
            </w:pPr>
            <w:r w:rsidRPr="005F36B9">
              <w:rPr>
                <w:spacing w:val="-4"/>
                <w:lang w:val="kk-KZ"/>
              </w:rPr>
              <w:t>- оқиғасымен пациенттер саны</w:t>
            </w:r>
          </w:p>
        </w:tc>
        <w:tc>
          <w:tcPr>
            <w:tcW w:w="1701" w:type="dxa"/>
            <w:tcBorders>
              <w:top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219 (12.9%) </w:t>
            </w:r>
          </w:p>
        </w:tc>
        <w:tc>
          <w:tcPr>
            <w:tcW w:w="1701" w:type="dxa"/>
            <w:tcBorders>
              <w:top w:val="nil"/>
              <w:left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127 (7.5%) </w:t>
            </w:r>
          </w:p>
        </w:tc>
        <w:tc>
          <w:tcPr>
            <w:tcW w:w="1559" w:type="dxa"/>
            <w:tcBorders>
              <w:top w:val="nil"/>
              <w:left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570 (33.6%) </w:t>
            </w:r>
          </w:p>
        </w:tc>
        <w:tc>
          <w:tcPr>
            <w:tcW w:w="1809" w:type="dxa"/>
            <w:tcBorders>
              <w:top w:val="nil"/>
              <w:left w:val="nil"/>
              <w:bottom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471 (27.7%) </w:t>
            </w:r>
          </w:p>
        </w:tc>
      </w:tr>
      <w:tr w:rsidR="0050122F" w:rsidRPr="005F36B9" w:rsidTr="0050122F">
        <w:tc>
          <w:tcPr>
            <w:tcW w:w="2302" w:type="dxa"/>
            <w:tcBorders>
              <w:top w:val="nil"/>
              <w:bottom w:val="nil"/>
            </w:tcBorders>
            <w:shd w:val="clear" w:color="auto" w:fill="auto"/>
          </w:tcPr>
          <w:p w:rsidR="0050122F" w:rsidRPr="005F36B9" w:rsidRDefault="0050122F" w:rsidP="0050122F">
            <w:pPr>
              <w:widowControl/>
              <w:rPr>
                <w:spacing w:val="-4"/>
                <w:lang w:val="ru-RU"/>
              </w:rPr>
            </w:pPr>
            <w:r w:rsidRPr="005F36B9">
              <w:rPr>
                <w:spacing w:val="-4"/>
                <w:lang w:val="kk-KZ"/>
              </w:rPr>
              <w:t>- оқиғасы жоқ пациенттер саны</w:t>
            </w:r>
          </w:p>
        </w:tc>
        <w:tc>
          <w:tcPr>
            <w:tcW w:w="1701" w:type="dxa"/>
            <w:tcBorders>
              <w:top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1474 (87.1%) </w:t>
            </w:r>
          </w:p>
        </w:tc>
        <w:tc>
          <w:tcPr>
            <w:tcW w:w="1701" w:type="dxa"/>
            <w:tcBorders>
              <w:top w:val="nil"/>
              <w:left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1566 (92.5%) </w:t>
            </w:r>
          </w:p>
        </w:tc>
        <w:tc>
          <w:tcPr>
            <w:tcW w:w="1559" w:type="dxa"/>
            <w:tcBorders>
              <w:top w:val="nil"/>
              <w:left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1127 (66.4%) </w:t>
            </w:r>
          </w:p>
        </w:tc>
        <w:tc>
          <w:tcPr>
            <w:tcW w:w="1809" w:type="dxa"/>
            <w:tcBorders>
              <w:top w:val="nil"/>
              <w:left w:val="nil"/>
              <w:bottom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1231 (72.3%) </w:t>
            </w:r>
          </w:p>
        </w:tc>
      </w:tr>
      <w:tr w:rsidR="0050122F" w:rsidRPr="005F36B9" w:rsidTr="0050122F">
        <w:tc>
          <w:tcPr>
            <w:tcW w:w="2302" w:type="dxa"/>
            <w:tcBorders>
              <w:top w:val="nil"/>
              <w:bottom w:val="nil"/>
            </w:tcBorders>
            <w:shd w:val="clear" w:color="auto" w:fill="auto"/>
          </w:tcPr>
          <w:p w:rsidR="0050122F" w:rsidRPr="005F36B9" w:rsidRDefault="0050122F" w:rsidP="0050122F">
            <w:pPr>
              <w:widowControl/>
              <w:rPr>
                <w:spacing w:val="-4"/>
              </w:rPr>
            </w:pPr>
            <w:r w:rsidRPr="005F36B9">
              <w:rPr>
                <w:spacing w:val="-4"/>
                <w:lang w:val="kk-KZ"/>
              </w:rPr>
              <w:t>бақылау тобымен салыстырғанда p-мәні</w:t>
            </w:r>
          </w:p>
        </w:tc>
        <w:tc>
          <w:tcPr>
            <w:tcW w:w="3402" w:type="dxa"/>
            <w:gridSpan w:val="2"/>
            <w:tcBorders>
              <w:top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&lt;0.0001</w:t>
            </w:r>
          </w:p>
        </w:tc>
        <w:tc>
          <w:tcPr>
            <w:tcW w:w="3368" w:type="dxa"/>
            <w:gridSpan w:val="2"/>
            <w:tcBorders>
              <w:top w:val="nil"/>
              <w:left w:val="nil"/>
              <w:bottom w:val="nil"/>
            </w:tcBorders>
            <w:shd w:val="clear" w:color="auto" w:fill="auto"/>
          </w:tcPr>
          <w:p w:rsidR="0050122F" w:rsidRPr="005F36B9" w:rsidRDefault="0050122F" w:rsidP="0050122F">
            <w:pPr>
              <w:widowControl/>
              <w:jc w:val="center"/>
              <w:rPr>
                <w:spacing w:val="-4"/>
                <w:lang w:val="ru-RU"/>
              </w:rPr>
            </w:pPr>
            <w:r w:rsidRPr="005F36B9">
              <w:rPr>
                <w:spacing w:val="-4"/>
                <w:lang w:val="kk-KZ"/>
              </w:rPr>
              <w:t>&lt;0.0001</w:t>
            </w:r>
          </w:p>
        </w:tc>
      </w:tr>
      <w:tr w:rsidR="0050122F" w:rsidRPr="005F36B9" w:rsidTr="0050122F">
        <w:tc>
          <w:tcPr>
            <w:tcW w:w="2302" w:type="dxa"/>
            <w:tcBorders>
              <w:top w:val="nil"/>
              <w:bottom w:val="single" w:sz="4" w:space="0" w:color="auto"/>
            </w:tcBorders>
            <w:shd w:val="clear" w:color="auto" w:fill="auto"/>
          </w:tcPr>
          <w:p w:rsidR="0050122F" w:rsidRPr="005F36B9" w:rsidRDefault="0050122F" w:rsidP="0050122F">
            <w:pPr>
              <w:widowControl/>
              <w:rPr>
                <w:spacing w:val="-4"/>
              </w:rPr>
            </w:pPr>
            <w:r w:rsidRPr="005F36B9">
              <w:rPr>
                <w:spacing w:val="-4"/>
                <w:lang w:val="kk-KZ"/>
              </w:rPr>
              <w:t>Бақылау тобымен салыстырғанда қауіптердің қатынасы</w:t>
            </w:r>
          </w:p>
        </w:tc>
        <w:tc>
          <w:tcPr>
            <w:tcW w:w="3402" w:type="dxa"/>
            <w:gridSpan w:val="2"/>
            <w:tcBorders>
              <w:top w:val="nil"/>
              <w:bottom w:val="single" w:sz="4" w:space="0" w:color="auto"/>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0.54 </w:t>
            </w:r>
          </w:p>
        </w:tc>
        <w:tc>
          <w:tcPr>
            <w:tcW w:w="3368" w:type="dxa"/>
            <w:gridSpan w:val="2"/>
            <w:tcBorders>
              <w:top w:val="nil"/>
              <w:left w:val="nil"/>
              <w:bottom w:val="single" w:sz="4" w:space="0" w:color="auto"/>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0.76 </w:t>
            </w:r>
          </w:p>
        </w:tc>
      </w:tr>
      <w:tr w:rsidR="0050122F" w:rsidRPr="005F36B9" w:rsidTr="0050122F">
        <w:tc>
          <w:tcPr>
            <w:tcW w:w="2302" w:type="dxa"/>
            <w:tcBorders>
              <w:bottom w:val="nil"/>
            </w:tcBorders>
            <w:shd w:val="clear" w:color="auto" w:fill="auto"/>
          </w:tcPr>
          <w:p w:rsidR="0050122F" w:rsidRPr="005F36B9" w:rsidRDefault="0050122F" w:rsidP="0050122F">
            <w:pPr>
              <w:widowControl/>
              <w:rPr>
                <w:spacing w:val="-4"/>
                <w:lang w:val="ru-RU"/>
              </w:rPr>
            </w:pPr>
            <w:r w:rsidRPr="005F36B9">
              <w:rPr>
                <w:spacing w:val="-4"/>
                <w:lang w:val="kk-KZ"/>
              </w:rPr>
              <w:t>Қайталанусыз өміршеңдік</w:t>
            </w:r>
          </w:p>
        </w:tc>
        <w:tc>
          <w:tcPr>
            <w:tcW w:w="1701" w:type="dxa"/>
            <w:tcBorders>
              <w:bottom w:val="nil"/>
              <w:right w:val="nil"/>
            </w:tcBorders>
            <w:shd w:val="clear" w:color="auto" w:fill="auto"/>
          </w:tcPr>
          <w:p w:rsidR="0050122F" w:rsidRPr="005F36B9" w:rsidRDefault="0050122F" w:rsidP="0050122F">
            <w:pPr>
              <w:widowControl/>
              <w:jc w:val="both"/>
              <w:rPr>
                <w:b/>
                <w:spacing w:val="-4"/>
                <w:lang w:val="ru-RU"/>
              </w:rPr>
            </w:pPr>
          </w:p>
        </w:tc>
        <w:tc>
          <w:tcPr>
            <w:tcW w:w="1701" w:type="dxa"/>
            <w:tcBorders>
              <w:left w:val="nil"/>
              <w:bottom w:val="nil"/>
              <w:right w:val="nil"/>
            </w:tcBorders>
            <w:shd w:val="clear" w:color="auto" w:fill="auto"/>
          </w:tcPr>
          <w:p w:rsidR="0050122F" w:rsidRPr="005F36B9" w:rsidRDefault="0050122F" w:rsidP="0050122F">
            <w:pPr>
              <w:widowControl/>
              <w:jc w:val="both"/>
              <w:rPr>
                <w:b/>
                <w:spacing w:val="-4"/>
                <w:lang w:val="ru-RU"/>
              </w:rPr>
            </w:pPr>
          </w:p>
        </w:tc>
        <w:tc>
          <w:tcPr>
            <w:tcW w:w="1559" w:type="dxa"/>
            <w:tcBorders>
              <w:left w:val="nil"/>
              <w:bottom w:val="nil"/>
              <w:right w:val="nil"/>
            </w:tcBorders>
            <w:shd w:val="clear" w:color="auto" w:fill="auto"/>
          </w:tcPr>
          <w:p w:rsidR="0050122F" w:rsidRPr="005F36B9" w:rsidRDefault="0050122F" w:rsidP="0050122F">
            <w:pPr>
              <w:widowControl/>
              <w:jc w:val="both"/>
              <w:rPr>
                <w:b/>
                <w:spacing w:val="-4"/>
                <w:lang w:val="ru-RU"/>
              </w:rPr>
            </w:pPr>
          </w:p>
        </w:tc>
        <w:tc>
          <w:tcPr>
            <w:tcW w:w="1809" w:type="dxa"/>
            <w:tcBorders>
              <w:left w:val="nil"/>
              <w:bottom w:val="nil"/>
            </w:tcBorders>
            <w:shd w:val="clear" w:color="auto" w:fill="auto"/>
          </w:tcPr>
          <w:p w:rsidR="0050122F" w:rsidRPr="005F36B9" w:rsidRDefault="0050122F" w:rsidP="0050122F">
            <w:pPr>
              <w:widowControl/>
              <w:jc w:val="both"/>
              <w:rPr>
                <w:b/>
                <w:spacing w:val="-4"/>
                <w:lang w:val="ru-RU"/>
              </w:rPr>
            </w:pPr>
          </w:p>
        </w:tc>
      </w:tr>
      <w:tr w:rsidR="0050122F" w:rsidRPr="005F36B9" w:rsidTr="0050122F">
        <w:tc>
          <w:tcPr>
            <w:tcW w:w="2302" w:type="dxa"/>
            <w:tcBorders>
              <w:top w:val="nil"/>
              <w:bottom w:val="nil"/>
            </w:tcBorders>
            <w:shd w:val="clear" w:color="auto" w:fill="auto"/>
          </w:tcPr>
          <w:p w:rsidR="0050122F" w:rsidRPr="005F36B9" w:rsidRDefault="0050122F" w:rsidP="0050122F">
            <w:pPr>
              <w:widowControl/>
              <w:rPr>
                <w:spacing w:val="-4"/>
                <w:lang w:val="ru-RU"/>
              </w:rPr>
            </w:pPr>
            <w:r w:rsidRPr="005F36B9">
              <w:rPr>
                <w:spacing w:val="-4"/>
                <w:lang w:val="kk-KZ"/>
              </w:rPr>
              <w:t>- оқиғасымен пациенттер саны</w:t>
            </w:r>
          </w:p>
        </w:tc>
        <w:tc>
          <w:tcPr>
            <w:tcW w:w="1701" w:type="dxa"/>
            <w:tcBorders>
              <w:top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208 (12.3%) </w:t>
            </w:r>
          </w:p>
        </w:tc>
        <w:tc>
          <w:tcPr>
            <w:tcW w:w="1701" w:type="dxa"/>
            <w:tcBorders>
              <w:top w:val="nil"/>
              <w:left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113 (6.7%) </w:t>
            </w:r>
          </w:p>
        </w:tc>
        <w:tc>
          <w:tcPr>
            <w:tcW w:w="1559" w:type="dxa"/>
            <w:tcBorders>
              <w:top w:val="nil"/>
              <w:left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506 (29.8%) </w:t>
            </w:r>
          </w:p>
        </w:tc>
        <w:tc>
          <w:tcPr>
            <w:tcW w:w="1809" w:type="dxa"/>
            <w:tcBorders>
              <w:top w:val="nil"/>
              <w:left w:val="nil"/>
              <w:bottom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399 (23.4%) </w:t>
            </w:r>
          </w:p>
        </w:tc>
      </w:tr>
      <w:tr w:rsidR="0050122F" w:rsidRPr="005F36B9" w:rsidTr="0050122F">
        <w:tc>
          <w:tcPr>
            <w:tcW w:w="2302" w:type="dxa"/>
            <w:tcBorders>
              <w:top w:val="nil"/>
              <w:bottom w:val="nil"/>
            </w:tcBorders>
            <w:shd w:val="clear" w:color="auto" w:fill="auto"/>
          </w:tcPr>
          <w:p w:rsidR="0050122F" w:rsidRPr="005F36B9" w:rsidRDefault="0050122F" w:rsidP="0050122F">
            <w:pPr>
              <w:widowControl/>
              <w:rPr>
                <w:rFonts w:ascii="Arial" w:hAnsi="Arial" w:cs="Arial"/>
                <w:spacing w:val="-4"/>
                <w:lang w:val="ru-RU"/>
              </w:rPr>
            </w:pPr>
            <w:r w:rsidRPr="005F36B9">
              <w:rPr>
                <w:spacing w:val="-4"/>
                <w:lang w:val="kk-KZ"/>
              </w:rPr>
              <w:t>- оқиғасы жоқ пациенттер саны</w:t>
            </w:r>
          </w:p>
        </w:tc>
        <w:tc>
          <w:tcPr>
            <w:tcW w:w="1701" w:type="dxa"/>
            <w:tcBorders>
              <w:top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1485 (87.7%) </w:t>
            </w:r>
          </w:p>
        </w:tc>
        <w:tc>
          <w:tcPr>
            <w:tcW w:w="1701" w:type="dxa"/>
            <w:tcBorders>
              <w:top w:val="nil"/>
              <w:left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1580 (93.3%) </w:t>
            </w:r>
          </w:p>
        </w:tc>
        <w:tc>
          <w:tcPr>
            <w:tcW w:w="1559" w:type="dxa"/>
            <w:tcBorders>
              <w:top w:val="nil"/>
              <w:left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1191 (70.2%) </w:t>
            </w:r>
          </w:p>
        </w:tc>
        <w:tc>
          <w:tcPr>
            <w:tcW w:w="1809" w:type="dxa"/>
            <w:tcBorders>
              <w:top w:val="nil"/>
              <w:left w:val="nil"/>
              <w:bottom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1303 (76.6%) </w:t>
            </w:r>
          </w:p>
        </w:tc>
      </w:tr>
      <w:tr w:rsidR="0050122F" w:rsidRPr="005F36B9" w:rsidTr="0050122F">
        <w:tc>
          <w:tcPr>
            <w:tcW w:w="2302" w:type="dxa"/>
            <w:tcBorders>
              <w:top w:val="nil"/>
              <w:bottom w:val="nil"/>
            </w:tcBorders>
            <w:shd w:val="clear" w:color="auto" w:fill="auto"/>
          </w:tcPr>
          <w:p w:rsidR="0050122F" w:rsidRPr="005F36B9" w:rsidRDefault="0050122F" w:rsidP="0050122F">
            <w:pPr>
              <w:widowControl/>
              <w:rPr>
                <w:rFonts w:ascii="Arial" w:hAnsi="Arial" w:cs="Arial"/>
                <w:spacing w:val="-4"/>
              </w:rPr>
            </w:pPr>
            <w:r w:rsidRPr="005F36B9">
              <w:rPr>
                <w:spacing w:val="-4"/>
                <w:lang w:val="kk-KZ"/>
              </w:rPr>
              <w:t>бақылау тобымен салыстырғанда p-мәні</w:t>
            </w:r>
          </w:p>
        </w:tc>
        <w:tc>
          <w:tcPr>
            <w:tcW w:w="3402" w:type="dxa"/>
            <w:gridSpan w:val="2"/>
            <w:tcBorders>
              <w:top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&lt;0.0001</w:t>
            </w:r>
          </w:p>
        </w:tc>
        <w:tc>
          <w:tcPr>
            <w:tcW w:w="3368" w:type="dxa"/>
            <w:gridSpan w:val="2"/>
            <w:tcBorders>
              <w:top w:val="nil"/>
              <w:left w:val="nil"/>
              <w:bottom w:val="nil"/>
            </w:tcBorders>
            <w:shd w:val="clear" w:color="auto" w:fill="auto"/>
          </w:tcPr>
          <w:p w:rsidR="0050122F" w:rsidRPr="005F36B9" w:rsidRDefault="0050122F" w:rsidP="0050122F">
            <w:pPr>
              <w:widowControl/>
              <w:jc w:val="center"/>
              <w:rPr>
                <w:spacing w:val="-4"/>
                <w:lang w:val="ru-RU"/>
              </w:rPr>
            </w:pPr>
            <w:r w:rsidRPr="005F36B9">
              <w:rPr>
                <w:spacing w:val="-4"/>
                <w:lang w:val="kk-KZ"/>
              </w:rPr>
              <w:t>&lt;0.0001</w:t>
            </w:r>
          </w:p>
        </w:tc>
      </w:tr>
      <w:tr w:rsidR="0050122F" w:rsidRPr="005F36B9" w:rsidTr="0050122F">
        <w:tc>
          <w:tcPr>
            <w:tcW w:w="2302" w:type="dxa"/>
            <w:tcBorders>
              <w:top w:val="nil"/>
              <w:bottom w:val="single" w:sz="4" w:space="0" w:color="auto"/>
            </w:tcBorders>
            <w:shd w:val="clear" w:color="auto" w:fill="auto"/>
          </w:tcPr>
          <w:p w:rsidR="0050122F" w:rsidRPr="005F36B9" w:rsidRDefault="0050122F" w:rsidP="0050122F">
            <w:pPr>
              <w:widowControl/>
              <w:rPr>
                <w:rFonts w:ascii="Arial" w:hAnsi="Arial" w:cs="Arial"/>
                <w:spacing w:val="-4"/>
              </w:rPr>
            </w:pPr>
            <w:r w:rsidRPr="005F36B9">
              <w:rPr>
                <w:spacing w:val="-4"/>
                <w:lang w:val="kk-KZ"/>
              </w:rPr>
              <w:t>Бақылау тобымен салыстырғанда қауіптердің қатынасы</w:t>
            </w:r>
          </w:p>
        </w:tc>
        <w:tc>
          <w:tcPr>
            <w:tcW w:w="3402" w:type="dxa"/>
            <w:gridSpan w:val="2"/>
            <w:tcBorders>
              <w:top w:val="nil"/>
              <w:bottom w:val="single" w:sz="4" w:space="0" w:color="auto"/>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0.51 </w:t>
            </w:r>
          </w:p>
        </w:tc>
        <w:tc>
          <w:tcPr>
            <w:tcW w:w="3368" w:type="dxa"/>
            <w:gridSpan w:val="2"/>
            <w:tcBorders>
              <w:top w:val="nil"/>
              <w:left w:val="nil"/>
              <w:bottom w:val="single" w:sz="4" w:space="0" w:color="auto"/>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0.73 </w:t>
            </w:r>
          </w:p>
        </w:tc>
      </w:tr>
      <w:tr w:rsidR="0050122F" w:rsidRPr="005F36B9" w:rsidTr="0050122F">
        <w:tc>
          <w:tcPr>
            <w:tcW w:w="2302" w:type="dxa"/>
            <w:tcBorders>
              <w:bottom w:val="nil"/>
            </w:tcBorders>
            <w:shd w:val="clear" w:color="auto" w:fill="auto"/>
          </w:tcPr>
          <w:p w:rsidR="0050122F" w:rsidRPr="005F36B9" w:rsidRDefault="0050122F" w:rsidP="0050122F">
            <w:pPr>
              <w:widowControl/>
              <w:rPr>
                <w:rFonts w:ascii="Arial" w:hAnsi="Arial" w:cs="Arial"/>
                <w:spacing w:val="-4"/>
              </w:rPr>
            </w:pPr>
            <w:r w:rsidRPr="005F36B9">
              <w:rPr>
                <w:spacing w:val="-4"/>
                <w:lang w:val="kk-KZ"/>
              </w:rPr>
              <w:t>Ауру белгілері жоқ ұзақ өміршеңдік</w:t>
            </w:r>
          </w:p>
        </w:tc>
        <w:tc>
          <w:tcPr>
            <w:tcW w:w="1701" w:type="dxa"/>
            <w:tcBorders>
              <w:bottom w:val="nil"/>
              <w:right w:val="nil"/>
            </w:tcBorders>
            <w:shd w:val="clear" w:color="auto" w:fill="auto"/>
          </w:tcPr>
          <w:p w:rsidR="0050122F" w:rsidRPr="005F36B9" w:rsidRDefault="0050122F" w:rsidP="0050122F">
            <w:pPr>
              <w:widowControl/>
              <w:jc w:val="both"/>
              <w:rPr>
                <w:b/>
                <w:spacing w:val="-4"/>
              </w:rPr>
            </w:pPr>
          </w:p>
        </w:tc>
        <w:tc>
          <w:tcPr>
            <w:tcW w:w="1701" w:type="dxa"/>
            <w:tcBorders>
              <w:left w:val="nil"/>
              <w:bottom w:val="nil"/>
              <w:right w:val="nil"/>
            </w:tcBorders>
            <w:shd w:val="clear" w:color="auto" w:fill="auto"/>
          </w:tcPr>
          <w:p w:rsidR="0050122F" w:rsidRPr="005F36B9" w:rsidRDefault="0050122F" w:rsidP="0050122F">
            <w:pPr>
              <w:widowControl/>
              <w:jc w:val="both"/>
              <w:rPr>
                <w:b/>
                <w:spacing w:val="-4"/>
              </w:rPr>
            </w:pPr>
          </w:p>
        </w:tc>
        <w:tc>
          <w:tcPr>
            <w:tcW w:w="1559" w:type="dxa"/>
            <w:tcBorders>
              <w:left w:val="nil"/>
              <w:bottom w:val="nil"/>
              <w:right w:val="nil"/>
            </w:tcBorders>
            <w:shd w:val="clear" w:color="auto" w:fill="auto"/>
          </w:tcPr>
          <w:p w:rsidR="0050122F" w:rsidRPr="005F36B9" w:rsidRDefault="0050122F" w:rsidP="0050122F">
            <w:pPr>
              <w:widowControl/>
              <w:jc w:val="both"/>
              <w:rPr>
                <w:b/>
                <w:spacing w:val="-4"/>
              </w:rPr>
            </w:pPr>
          </w:p>
        </w:tc>
        <w:tc>
          <w:tcPr>
            <w:tcW w:w="1809" w:type="dxa"/>
            <w:tcBorders>
              <w:left w:val="nil"/>
              <w:bottom w:val="nil"/>
            </w:tcBorders>
            <w:shd w:val="clear" w:color="auto" w:fill="auto"/>
          </w:tcPr>
          <w:p w:rsidR="0050122F" w:rsidRPr="005F36B9" w:rsidRDefault="0050122F" w:rsidP="0050122F">
            <w:pPr>
              <w:widowControl/>
              <w:jc w:val="both"/>
              <w:rPr>
                <w:b/>
                <w:spacing w:val="-4"/>
              </w:rPr>
            </w:pPr>
          </w:p>
        </w:tc>
      </w:tr>
      <w:tr w:rsidR="0050122F" w:rsidRPr="005F36B9" w:rsidTr="0050122F">
        <w:tc>
          <w:tcPr>
            <w:tcW w:w="2302" w:type="dxa"/>
            <w:tcBorders>
              <w:top w:val="nil"/>
              <w:bottom w:val="nil"/>
            </w:tcBorders>
            <w:shd w:val="clear" w:color="auto" w:fill="auto"/>
          </w:tcPr>
          <w:p w:rsidR="0050122F" w:rsidRPr="005F36B9" w:rsidRDefault="0050122F" w:rsidP="0050122F">
            <w:pPr>
              <w:widowControl/>
              <w:rPr>
                <w:rFonts w:ascii="Arial" w:hAnsi="Arial" w:cs="Arial"/>
                <w:spacing w:val="-4"/>
                <w:lang w:val="ru-RU"/>
              </w:rPr>
            </w:pPr>
            <w:r w:rsidRPr="005F36B9">
              <w:rPr>
                <w:spacing w:val="-4"/>
                <w:lang w:val="kk-KZ"/>
              </w:rPr>
              <w:t>- оқиғасымен пациенттер саны</w:t>
            </w:r>
          </w:p>
        </w:tc>
        <w:tc>
          <w:tcPr>
            <w:tcW w:w="1701" w:type="dxa"/>
            <w:tcBorders>
              <w:top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184 (10.9%) </w:t>
            </w:r>
          </w:p>
        </w:tc>
        <w:tc>
          <w:tcPr>
            <w:tcW w:w="1701" w:type="dxa"/>
            <w:tcBorders>
              <w:top w:val="nil"/>
              <w:left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99 (5.8%) </w:t>
            </w:r>
          </w:p>
        </w:tc>
        <w:tc>
          <w:tcPr>
            <w:tcW w:w="1559" w:type="dxa"/>
            <w:tcBorders>
              <w:top w:val="nil"/>
              <w:left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488 (28.8%) </w:t>
            </w:r>
          </w:p>
        </w:tc>
        <w:tc>
          <w:tcPr>
            <w:tcW w:w="1809" w:type="dxa"/>
            <w:tcBorders>
              <w:top w:val="nil"/>
              <w:left w:val="nil"/>
              <w:bottom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399 (23.4%) </w:t>
            </w:r>
          </w:p>
        </w:tc>
      </w:tr>
      <w:tr w:rsidR="0050122F" w:rsidRPr="005F36B9" w:rsidTr="0050122F">
        <w:tc>
          <w:tcPr>
            <w:tcW w:w="2302" w:type="dxa"/>
            <w:tcBorders>
              <w:top w:val="nil"/>
              <w:bottom w:val="nil"/>
            </w:tcBorders>
            <w:shd w:val="clear" w:color="auto" w:fill="auto"/>
          </w:tcPr>
          <w:p w:rsidR="0050122F" w:rsidRPr="005F36B9" w:rsidRDefault="0050122F" w:rsidP="0050122F">
            <w:pPr>
              <w:widowControl/>
              <w:rPr>
                <w:rFonts w:ascii="Arial" w:hAnsi="Arial" w:cs="Arial"/>
                <w:spacing w:val="-4"/>
                <w:lang w:val="ru-RU"/>
              </w:rPr>
            </w:pPr>
            <w:r w:rsidRPr="005F36B9">
              <w:rPr>
                <w:spacing w:val="-4"/>
                <w:lang w:val="kk-KZ"/>
              </w:rPr>
              <w:t>- оқиғасы жоқ пациенттер саны</w:t>
            </w:r>
          </w:p>
        </w:tc>
        <w:tc>
          <w:tcPr>
            <w:tcW w:w="1701" w:type="dxa"/>
            <w:tcBorders>
              <w:top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1508 (89.1%) </w:t>
            </w:r>
          </w:p>
        </w:tc>
        <w:tc>
          <w:tcPr>
            <w:tcW w:w="1701" w:type="dxa"/>
            <w:tcBorders>
              <w:top w:val="nil"/>
              <w:left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1594 (94.6%) </w:t>
            </w:r>
          </w:p>
        </w:tc>
        <w:tc>
          <w:tcPr>
            <w:tcW w:w="1559" w:type="dxa"/>
            <w:tcBorders>
              <w:top w:val="nil"/>
              <w:left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1209 (71.2%) </w:t>
            </w:r>
          </w:p>
        </w:tc>
        <w:tc>
          <w:tcPr>
            <w:tcW w:w="1809" w:type="dxa"/>
            <w:tcBorders>
              <w:top w:val="nil"/>
              <w:left w:val="nil"/>
              <w:bottom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1303 (76.6%) </w:t>
            </w:r>
          </w:p>
        </w:tc>
      </w:tr>
      <w:tr w:rsidR="0050122F" w:rsidRPr="005F36B9" w:rsidTr="0050122F">
        <w:tc>
          <w:tcPr>
            <w:tcW w:w="2302" w:type="dxa"/>
            <w:tcBorders>
              <w:top w:val="nil"/>
              <w:bottom w:val="nil"/>
            </w:tcBorders>
            <w:shd w:val="clear" w:color="auto" w:fill="auto"/>
          </w:tcPr>
          <w:p w:rsidR="0050122F" w:rsidRPr="005F36B9" w:rsidRDefault="0050122F" w:rsidP="0050122F">
            <w:pPr>
              <w:widowControl/>
              <w:rPr>
                <w:rFonts w:ascii="Arial" w:hAnsi="Arial" w:cs="Arial"/>
                <w:spacing w:val="-4"/>
              </w:rPr>
            </w:pPr>
            <w:r w:rsidRPr="005F36B9">
              <w:rPr>
                <w:spacing w:val="-4"/>
                <w:lang w:val="kk-KZ"/>
              </w:rPr>
              <w:t>бақылау тобымен салыстырғанда p-мәні</w:t>
            </w:r>
          </w:p>
        </w:tc>
        <w:tc>
          <w:tcPr>
            <w:tcW w:w="3402" w:type="dxa"/>
            <w:gridSpan w:val="2"/>
            <w:tcBorders>
              <w:top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&lt;0.0001</w:t>
            </w:r>
          </w:p>
        </w:tc>
        <w:tc>
          <w:tcPr>
            <w:tcW w:w="3368" w:type="dxa"/>
            <w:gridSpan w:val="2"/>
            <w:tcBorders>
              <w:top w:val="nil"/>
              <w:left w:val="nil"/>
              <w:bottom w:val="nil"/>
            </w:tcBorders>
            <w:shd w:val="clear" w:color="auto" w:fill="auto"/>
          </w:tcPr>
          <w:p w:rsidR="0050122F" w:rsidRPr="005F36B9" w:rsidRDefault="0050122F" w:rsidP="0050122F">
            <w:pPr>
              <w:widowControl/>
              <w:jc w:val="center"/>
              <w:rPr>
                <w:spacing w:val="-4"/>
                <w:lang w:val="ru-RU"/>
              </w:rPr>
            </w:pPr>
            <w:r w:rsidRPr="005F36B9">
              <w:rPr>
                <w:spacing w:val="-4"/>
                <w:lang w:val="kk-KZ"/>
              </w:rPr>
              <w:t>&lt;0.0001</w:t>
            </w:r>
          </w:p>
        </w:tc>
      </w:tr>
      <w:tr w:rsidR="0050122F" w:rsidRPr="005F36B9" w:rsidTr="0050122F">
        <w:tc>
          <w:tcPr>
            <w:tcW w:w="2302" w:type="dxa"/>
            <w:tcBorders>
              <w:top w:val="nil"/>
              <w:bottom w:val="single" w:sz="4" w:space="0" w:color="auto"/>
            </w:tcBorders>
            <w:shd w:val="clear" w:color="auto" w:fill="auto"/>
          </w:tcPr>
          <w:p w:rsidR="0050122F" w:rsidRPr="005F36B9" w:rsidRDefault="0050122F" w:rsidP="0050122F">
            <w:pPr>
              <w:widowControl/>
              <w:rPr>
                <w:rFonts w:ascii="Arial" w:hAnsi="Arial" w:cs="Arial"/>
                <w:spacing w:val="-4"/>
              </w:rPr>
            </w:pPr>
            <w:r w:rsidRPr="005F36B9">
              <w:rPr>
                <w:spacing w:val="-4"/>
                <w:lang w:val="kk-KZ"/>
              </w:rPr>
              <w:t>Бақылау тобымен салыстырғанда қауіптердің қатынасы</w:t>
            </w:r>
          </w:p>
        </w:tc>
        <w:tc>
          <w:tcPr>
            <w:tcW w:w="3402" w:type="dxa"/>
            <w:gridSpan w:val="2"/>
            <w:tcBorders>
              <w:top w:val="nil"/>
              <w:bottom w:val="single" w:sz="4" w:space="0" w:color="auto"/>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0.50 </w:t>
            </w:r>
          </w:p>
        </w:tc>
        <w:tc>
          <w:tcPr>
            <w:tcW w:w="3368" w:type="dxa"/>
            <w:gridSpan w:val="2"/>
            <w:tcBorders>
              <w:top w:val="nil"/>
              <w:left w:val="nil"/>
              <w:bottom w:val="single" w:sz="4" w:space="0" w:color="auto"/>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0.76 </w:t>
            </w:r>
          </w:p>
        </w:tc>
      </w:tr>
      <w:tr w:rsidR="0050122F" w:rsidRPr="005F36B9" w:rsidTr="0050122F">
        <w:tc>
          <w:tcPr>
            <w:tcW w:w="2302" w:type="dxa"/>
            <w:tcBorders>
              <w:bottom w:val="nil"/>
            </w:tcBorders>
            <w:shd w:val="clear" w:color="auto" w:fill="auto"/>
          </w:tcPr>
          <w:p w:rsidR="0050122F" w:rsidRPr="005F36B9" w:rsidRDefault="0050122F" w:rsidP="0050122F">
            <w:pPr>
              <w:widowControl/>
              <w:rPr>
                <w:rFonts w:ascii="Arial" w:hAnsi="Arial" w:cs="Arial"/>
                <w:spacing w:val="-4"/>
              </w:rPr>
            </w:pPr>
            <w:r w:rsidRPr="005F36B9">
              <w:rPr>
                <w:spacing w:val="-4"/>
                <w:lang w:val="kk-KZ"/>
              </w:rPr>
              <w:t>Жалпы өміршеңдік (өліммен аяқталған жағдай)</w:t>
            </w:r>
          </w:p>
        </w:tc>
        <w:tc>
          <w:tcPr>
            <w:tcW w:w="1701" w:type="dxa"/>
            <w:tcBorders>
              <w:bottom w:val="nil"/>
              <w:right w:val="nil"/>
            </w:tcBorders>
            <w:shd w:val="clear" w:color="auto" w:fill="auto"/>
          </w:tcPr>
          <w:p w:rsidR="0050122F" w:rsidRPr="005F36B9" w:rsidRDefault="0050122F" w:rsidP="0050122F">
            <w:pPr>
              <w:widowControl/>
              <w:jc w:val="center"/>
              <w:rPr>
                <w:spacing w:val="-4"/>
              </w:rPr>
            </w:pPr>
          </w:p>
        </w:tc>
        <w:tc>
          <w:tcPr>
            <w:tcW w:w="1701" w:type="dxa"/>
            <w:tcBorders>
              <w:left w:val="nil"/>
              <w:bottom w:val="nil"/>
              <w:right w:val="nil"/>
            </w:tcBorders>
            <w:shd w:val="clear" w:color="auto" w:fill="auto"/>
          </w:tcPr>
          <w:p w:rsidR="0050122F" w:rsidRPr="005F36B9" w:rsidRDefault="0050122F" w:rsidP="0050122F">
            <w:pPr>
              <w:widowControl/>
              <w:jc w:val="center"/>
              <w:rPr>
                <w:spacing w:val="-4"/>
              </w:rPr>
            </w:pPr>
          </w:p>
        </w:tc>
        <w:tc>
          <w:tcPr>
            <w:tcW w:w="1559" w:type="dxa"/>
            <w:tcBorders>
              <w:left w:val="nil"/>
              <w:bottom w:val="nil"/>
              <w:right w:val="nil"/>
            </w:tcBorders>
            <w:shd w:val="clear" w:color="auto" w:fill="auto"/>
          </w:tcPr>
          <w:p w:rsidR="0050122F" w:rsidRPr="005F36B9" w:rsidRDefault="0050122F" w:rsidP="0050122F">
            <w:pPr>
              <w:widowControl/>
              <w:jc w:val="center"/>
              <w:rPr>
                <w:spacing w:val="-4"/>
              </w:rPr>
            </w:pPr>
          </w:p>
        </w:tc>
        <w:tc>
          <w:tcPr>
            <w:tcW w:w="1809" w:type="dxa"/>
            <w:tcBorders>
              <w:left w:val="nil"/>
              <w:bottom w:val="nil"/>
            </w:tcBorders>
            <w:shd w:val="clear" w:color="auto" w:fill="auto"/>
          </w:tcPr>
          <w:p w:rsidR="0050122F" w:rsidRPr="005F36B9" w:rsidRDefault="0050122F" w:rsidP="0050122F">
            <w:pPr>
              <w:widowControl/>
              <w:jc w:val="center"/>
              <w:rPr>
                <w:spacing w:val="-4"/>
              </w:rPr>
            </w:pPr>
          </w:p>
        </w:tc>
      </w:tr>
      <w:tr w:rsidR="0050122F" w:rsidRPr="005F36B9" w:rsidTr="0050122F">
        <w:tc>
          <w:tcPr>
            <w:tcW w:w="2302" w:type="dxa"/>
            <w:tcBorders>
              <w:top w:val="nil"/>
              <w:bottom w:val="nil"/>
            </w:tcBorders>
            <w:shd w:val="clear" w:color="auto" w:fill="auto"/>
          </w:tcPr>
          <w:p w:rsidR="0050122F" w:rsidRPr="005F36B9" w:rsidRDefault="0050122F" w:rsidP="0050122F">
            <w:pPr>
              <w:widowControl/>
              <w:rPr>
                <w:rFonts w:ascii="Arial" w:hAnsi="Arial" w:cs="Arial"/>
                <w:spacing w:val="-4"/>
                <w:lang w:val="ru-RU"/>
              </w:rPr>
            </w:pPr>
            <w:r w:rsidRPr="005F36B9">
              <w:rPr>
                <w:spacing w:val="-4"/>
                <w:lang w:val="kk-KZ"/>
              </w:rPr>
              <w:t>- оқиғасымен пациенттер саны</w:t>
            </w:r>
          </w:p>
        </w:tc>
        <w:tc>
          <w:tcPr>
            <w:tcW w:w="1701" w:type="dxa"/>
            <w:tcBorders>
              <w:top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40 (2.4%) </w:t>
            </w:r>
          </w:p>
        </w:tc>
        <w:tc>
          <w:tcPr>
            <w:tcW w:w="1701" w:type="dxa"/>
            <w:tcBorders>
              <w:top w:val="nil"/>
              <w:left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31 (1.8%) </w:t>
            </w:r>
          </w:p>
        </w:tc>
        <w:tc>
          <w:tcPr>
            <w:tcW w:w="1559" w:type="dxa"/>
            <w:tcBorders>
              <w:top w:val="nil"/>
              <w:left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350 (20.6%) </w:t>
            </w:r>
          </w:p>
        </w:tc>
        <w:tc>
          <w:tcPr>
            <w:tcW w:w="1809" w:type="dxa"/>
            <w:tcBorders>
              <w:top w:val="nil"/>
              <w:left w:val="nil"/>
              <w:bottom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278 (16.3%) </w:t>
            </w:r>
          </w:p>
        </w:tc>
      </w:tr>
      <w:tr w:rsidR="0050122F" w:rsidRPr="005F36B9" w:rsidTr="0050122F">
        <w:tc>
          <w:tcPr>
            <w:tcW w:w="2302" w:type="dxa"/>
            <w:tcBorders>
              <w:top w:val="nil"/>
              <w:bottom w:val="nil"/>
            </w:tcBorders>
            <w:shd w:val="clear" w:color="auto" w:fill="auto"/>
          </w:tcPr>
          <w:p w:rsidR="0050122F" w:rsidRPr="005F36B9" w:rsidRDefault="0050122F" w:rsidP="0050122F">
            <w:pPr>
              <w:widowControl/>
              <w:rPr>
                <w:rFonts w:ascii="Arial" w:hAnsi="Arial" w:cs="Arial"/>
                <w:spacing w:val="-4"/>
                <w:lang w:val="ru-RU"/>
              </w:rPr>
            </w:pPr>
            <w:r w:rsidRPr="005F36B9">
              <w:rPr>
                <w:spacing w:val="-4"/>
                <w:lang w:val="kk-KZ"/>
              </w:rPr>
              <w:t>- оқиғасы жоқ пациенттер саны</w:t>
            </w:r>
          </w:p>
        </w:tc>
        <w:tc>
          <w:tcPr>
            <w:tcW w:w="1701" w:type="dxa"/>
            <w:tcBorders>
              <w:top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1653 (97.6%) </w:t>
            </w:r>
          </w:p>
        </w:tc>
        <w:tc>
          <w:tcPr>
            <w:tcW w:w="1701" w:type="dxa"/>
            <w:tcBorders>
              <w:top w:val="nil"/>
              <w:left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1662 (98.2%) </w:t>
            </w:r>
          </w:p>
        </w:tc>
        <w:tc>
          <w:tcPr>
            <w:tcW w:w="1559" w:type="dxa"/>
            <w:tcBorders>
              <w:top w:val="nil"/>
              <w:left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1347 (79.4%) </w:t>
            </w:r>
          </w:p>
        </w:tc>
        <w:tc>
          <w:tcPr>
            <w:tcW w:w="1809" w:type="dxa"/>
            <w:tcBorders>
              <w:top w:val="nil"/>
              <w:left w:val="nil"/>
              <w:bottom w:val="nil"/>
            </w:tcBorders>
            <w:shd w:val="clear" w:color="auto" w:fill="auto"/>
          </w:tcPr>
          <w:p w:rsidR="0050122F" w:rsidRPr="005F36B9" w:rsidRDefault="0050122F" w:rsidP="0050122F">
            <w:pPr>
              <w:widowControl/>
              <w:jc w:val="center"/>
              <w:rPr>
                <w:spacing w:val="-4"/>
                <w:lang w:val="ru-RU"/>
              </w:rPr>
            </w:pPr>
            <w:r w:rsidRPr="005F36B9">
              <w:rPr>
                <w:spacing w:val="-4"/>
                <w:lang w:val="kk-KZ"/>
              </w:rPr>
              <w:t xml:space="preserve">1424 (83.7%) </w:t>
            </w:r>
          </w:p>
        </w:tc>
      </w:tr>
      <w:tr w:rsidR="0050122F" w:rsidRPr="005F36B9" w:rsidTr="0050122F">
        <w:tc>
          <w:tcPr>
            <w:tcW w:w="2302" w:type="dxa"/>
            <w:tcBorders>
              <w:top w:val="nil"/>
              <w:bottom w:val="nil"/>
            </w:tcBorders>
            <w:shd w:val="clear" w:color="auto" w:fill="auto"/>
          </w:tcPr>
          <w:p w:rsidR="0050122F" w:rsidRPr="005F36B9" w:rsidRDefault="0050122F" w:rsidP="0050122F">
            <w:pPr>
              <w:widowControl/>
              <w:rPr>
                <w:rFonts w:ascii="Arial" w:hAnsi="Arial" w:cs="Arial"/>
                <w:spacing w:val="-4"/>
              </w:rPr>
            </w:pPr>
            <w:r w:rsidRPr="005F36B9">
              <w:rPr>
                <w:spacing w:val="-4"/>
                <w:lang w:val="kk-KZ"/>
              </w:rPr>
              <w:t>бақылау тобымен салыстырғанда p-мәні</w:t>
            </w:r>
          </w:p>
        </w:tc>
        <w:tc>
          <w:tcPr>
            <w:tcW w:w="3402" w:type="dxa"/>
            <w:gridSpan w:val="2"/>
            <w:tcBorders>
              <w:top w:val="nil"/>
              <w:bottom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t>0.24</w:t>
            </w:r>
          </w:p>
        </w:tc>
        <w:tc>
          <w:tcPr>
            <w:tcW w:w="3368" w:type="dxa"/>
            <w:gridSpan w:val="2"/>
            <w:tcBorders>
              <w:top w:val="nil"/>
              <w:left w:val="nil"/>
              <w:bottom w:val="nil"/>
            </w:tcBorders>
            <w:shd w:val="clear" w:color="auto" w:fill="auto"/>
          </w:tcPr>
          <w:p w:rsidR="0050122F" w:rsidRPr="005F36B9" w:rsidRDefault="0050122F" w:rsidP="0050122F">
            <w:pPr>
              <w:widowControl/>
              <w:jc w:val="center"/>
              <w:rPr>
                <w:spacing w:val="-4"/>
                <w:lang w:val="ru-RU"/>
              </w:rPr>
            </w:pPr>
            <w:r w:rsidRPr="005F36B9">
              <w:rPr>
                <w:spacing w:val="-4"/>
                <w:lang w:val="kk-KZ"/>
              </w:rPr>
              <w:t>0.0005</w:t>
            </w:r>
          </w:p>
        </w:tc>
      </w:tr>
      <w:tr w:rsidR="0050122F" w:rsidRPr="005F36B9" w:rsidTr="0050122F">
        <w:tc>
          <w:tcPr>
            <w:tcW w:w="2302" w:type="dxa"/>
            <w:tcBorders>
              <w:top w:val="nil"/>
            </w:tcBorders>
            <w:shd w:val="clear" w:color="auto" w:fill="auto"/>
          </w:tcPr>
          <w:p w:rsidR="0050122F" w:rsidRPr="005F36B9" w:rsidRDefault="0050122F" w:rsidP="0050122F">
            <w:pPr>
              <w:widowControl/>
              <w:rPr>
                <w:rFonts w:ascii="Arial" w:hAnsi="Arial" w:cs="Arial"/>
                <w:spacing w:val="-4"/>
              </w:rPr>
            </w:pPr>
            <w:r w:rsidRPr="005F36B9">
              <w:rPr>
                <w:spacing w:val="-4"/>
                <w:lang w:val="kk-KZ"/>
              </w:rPr>
              <w:t xml:space="preserve">Бақылау тобымен салыстырғанда қауіптердің </w:t>
            </w:r>
            <w:r w:rsidRPr="005F36B9">
              <w:rPr>
                <w:spacing w:val="-4"/>
                <w:lang w:val="kk-KZ"/>
              </w:rPr>
              <w:lastRenderedPageBreak/>
              <w:t>қатынасы</w:t>
            </w:r>
          </w:p>
        </w:tc>
        <w:tc>
          <w:tcPr>
            <w:tcW w:w="3402" w:type="dxa"/>
            <w:gridSpan w:val="2"/>
            <w:tcBorders>
              <w:top w:val="nil"/>
              <w:right w:val="nil"/>
            </w:tcBorders>
            <w:shd w:val="clear" w:color="auto" w:fill="auto"/>
          </w:tcPr>
          <w:p w:rsidR="0050122F" w:rsidRPr="005F36B9" w:rsidRDefault="0050122F" w:rsidP="0050122F">
            <w:pPr>
              <w:widowControl/>
              <w:jc w:val="center"/>
              <w:rPr>
                <w:spacing w:val="-4"/>
                <w:lang w:val="ru-RU"/>
              </w:rPr>
            </w:pPr>
            <w:r w:rsidRPr="005F36B9">
              <w:rPr>
                <w:spacing w:val="-4"/>
                <w:lang w:val="kk-KZ"/>
              </w:rPr>
              <w:lastRenderedPageBreak/>
              <w:t xml:space="preserve">0.75 </w:t>
            </w:r>
          </w:p>
        </w:tc>
        <w:tc>
          <w:tcPr>
            <w:tcW w:w="3368" w:type="dxa"/>
            <w:gridSpan w:val="2"/>
            <w:tcBorders>
              <w:top w:val="nil"/>
              <w:left w:val="nil"/>
            </w:tcBorders>
            <w:shd w:val="clear" w:color="auto" w:fill="auto"/>
          </w:tcPr>
          <w:p w:rsidR="0050122F" w:rsidRPr="005F36B9" w:rsidRDefault="0050122F" w:rsidP="0050122F">
            <w:pPr>
              <w:widowControl/>
              <w:jc w:val="center"/>
              <w:rPr>
                <w:spacing w:val="-4"/>
                <w:lang w:val="ru-RU"/>
              </w:rPr>
            </w:pPr>
            <w:r w:rsidRPr="005F36B9">
              <w:rPr>
                <w:spacing w:val="-4"/>
                <w:lang w:val="kk-KZ"/>
              </w:rPr>
              <w:t>0.76</w:t>
            </w:r>
          </w:p>
        </w:tc>
      </w:tr>
    </w:tbl>
    <w:p w:rsidR="0050122F" w:rsidRPr="005F36B9" w:rsidRDefault="0050122F" w:rsidP="0050122F">
      <w:pPr>
        <w:widowControl/>
        <w:jc w:val="both"/>
        <w:rPr>
          <w:spacing w:val="-4"/>
        </w:rPr>
      </w:pPr>
      <w:r w:rsidRPr="005F36B9">
        <w:rPr>
          <w:spacing w:val="-4"/>
          <w:lang w:val="kk-KZ"/>
        </w:rPr>
        <w:lastRenderedPageBreak/>
        <w:t>* «Ауру белгілері жоқ өміршеңдік» көрсеткіші (DFS) (біріктірілген бастапқы соңғы нүкте) 1 жыл ішінде бақылаумен салыстырғанда алдын ала берілген статистикалық шегіне сәйкес келді</w:t>
      </w:r>
    </w:p>
    <w:p w:rsidR="0050122F" w:rsidRPr="005F36B9" w:rsidRDefault="0050122F" w:rsidP="0050122F">
      <w:pPr>
        <w:widowControl/>
        <w:jc w:val="both"/>
        <w:rPr>
          <w:spacing w:val="-4"/>
        </w:rPr>
      </w:pPr>
      <w:r w:rsidRPr="005F36B9">
        <w:rPr>
          <w:spacing w:val="-4"/>
          <w:lang w:val="kk-KZ"/>
        </w:rPr>
        <w:t xml:space="preserve">** Қорытынды талдау (пациенттердің 52%-ы бақылау тобынан </w:t>
      </w:r>
      <w:r w:rsidR="00DF40E8" w:rsidRPr="005F36B9">
        <w:rPr>
          <w:spacing w:val="-4"/>
          <w:lang w:val="kk-KZ"/>
        </w:rPr>
        <w:t xml:space="preserve">трастузумабпен </w:t>
      </w:r>
      <w:r w:rsidRPr="005F36B9">
        <w:rPr>
          <w:spacing w:val="-4"/>
          <w:lang w:val="kk-KZ"/>
        </w:rPr>
        <w:t>емдеу тобына ауысуын ескере отырып)</w:t>
      </w:r>
    </w:p>
    <w:p w:rsidR="0050122F" w:rsidRPr="005F36B9" w:rsidRDefault="0050122F" w:rsidP="0050122F">
      <w:pPr>
        <w:widowControl/>
        <w:jc w:val="both"/>
        <w:rPr>
          <w:spacing w:val="-4"/>
        </w:rPr>
      </w:pPr>
      <w:r w:rsidRPr="005F36B9">
        <w:rPr>
          <w:spacing w:val="-4"/>
          <w:lang w:val="kk-KZ"/>
        </w:rPr>
        <w:t>*** 12 айдан кейінгі бақылау медианасымен талдау үшін деректерді жинау аяқталған күннен кейін рандомизацияланған пациенттердің аздығына байланысты үлгінің жалпы көлемінде сәйкессіздік бар.</w:t>
      </w:r>
    </w:p>
    <w:p w:rsidR="0050122F" w:rsidRPr="005F36B9" w:rsidRDefault="0050122F" w:rsidP="0050122F">
      <w:pPr>
        <w:widowControl/>
        <w:jc w:val="both"/>
        <w:rPr>
          <w:spacing w:val="-4"/>
        </w:rPr>
      </w:pPr>
    </w:p>
    <w:p w:rsidR="0050122F" w:rsidRPr="005F36B9" w:rsidRDefault="0050122F" w:rsidP="0050122F">
      <w:pPr>
        <w:widowControl/>
        <w:jc w:val="both"/>
        <w:rPr>
          <w:spacing w:val="-4"/>
          <w:lang w:val="kk-KZ"/>
        </w:rPr>
      </w:pPr>
      <w:r w:rsidRPr="005F36B9">
        <w:rPr>
          <w:spacing w:val="-4"/>
          <w:lang w:val="kk-KZ"/>
        </w:rPr>
        <w:t xml:space="preserve">Тиімділікті аралық талдау нәтижелері </w:t>
      </w:r>
      <w:r w:rsidR="00DF40E8" w:rsidRPr="005F36B9">
        <w:rPr>
          <w:spacing w:val="-4"/>
          <w:lang w:val="kk-KZ"/>
        </w:rPr>
        <w:t xml:space="preserve">трастузумабпен </w:t>
      </w:r>
      <w:r w:rsidRPr="005F36B9">
        <w:rPr>
          <w:spacing w:val="-4"/>
          <w:lang w:val="kk-KZ"/>
        </w:rPr>
        <w:t>емдеу тобындағы және бақылау тобындағы нәтижелерді 1 жыл бойы салыстыру кезінде алдын ала берілген статистикалық шегінен өтті. 12 айлық бақылау медианасына</w:t>
      </w:r>
      <w:r w:rsidR="00FD0FD7" w:rsidRPr="005F36B9">
        <w:rPr>
          <w:spacing w:val="-4"/>
          <w:lang w:val="kk-KZ"/>
        </w:rPr>
        <w:t xml:space="preserve"> </w:t>
      </w:r>
      <w:r w:rsidRPr="005F36B9">
        <w:rPr>
          <w:spacing w:val="-4"/>
          <w:lang w:val="kk-KZ"/>
        </w:rPr>
        <w:t xml:space="preserve">жеткеннен кейін DFS көрсеткіші үшін қауіптердің қатынасы (ҚҚ) 0.54 (95% СА 0.44, 0.67) құрады, бұл ауру белгілері жоқ екі жылдық өміршеңдік көрсеткіші бойынша абсолюттік артықшылық ретінде түсіндіріледі және </w:t>
      </w:r>
      <w:r w:rsidR="00DF40E8" w:rsidRPr="005F36B9">
        <w:rPr>
          <w:spacing w:val="-4"/>
          <w:lang w:val="kk-KZ"/>
        </w:rPr>
        <w:t xml:space="preserve">трастузумабпен </w:t>
      </w:r>
      <w:r w:rsidRPr="005F36B9">
        <w:rPr>
          <w:spacing w:val="-4"/>
          <w:lang w:val="kk-KZ"/>
        </w:rPr>
        <w:t>емдеу тобында 7.6%-ға (78.2%-бен салыстырғанда 85.8%) жоғары болды.</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 xml:space="preserve">Қорытынды талдау 8 жылдық бақылау медианасына қол жеткізу бойынша жүргізілді және </w:t>
      </w:r>
      <w:r w:rsidR="00DF40E8" w:rsidRPr="005F36B9">
        <w:rPr>
          <w:spacing w:val="-4"/>
          <w:lang w:val="kk-KZ"/>
        </w:rPr>
        <w:t xml:space="preserve">трастузумабпен </w:t>
      </w:r>
      <w:r w:rsidRPr="005F36B9">
        <w:rPr>
          <w:spacing w:val="-4"/>
          <w:lang w:val="kk-KZ"/>
        </w:rPr>
        <w:t xml:space="preserve">1 жыл бойы емдеу бақылау тобымен салыстырғанда қауіптердің 24%-ға төмендеуімен байланысты екенін көрсетті (ҚҚ=0.76, 95% СА 0.67, 0.86). Бұл аурудың белгілері жоқ 8 жылдық өміршеңдік көрсеткіші бойынша абсолютті артықшылық ретінде түсіндіріледі және 1 жыл ішінде </w:t>
      </w:r>
      <w:r w:rsidR="00DF40E8" w:rsidRPr="005F36B9">
        <w:rPr>
          <w:spacing w:val="-4"/>
          <w:lang w:val="kk-KZ"/>
        </w:rPr>
        <w:t xml:space="preserve">трастузумабпен </w:t>
      </w:r>
      <w:r w:rsidRPr="005F36B9">
        <w:rPr>
          <w:spacing w:val="-4"/>
          <w:lang w:val="kk-KZ"/>
        </w:rPr>
        <w:t xml:space="preserve">емдеу тобында 6.4%-ға жоғары болды. </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 xml:space="preserve">Осы қорытынды талдау 1 жыл бойы </w:t>
      </w:r>
      <w:r w:rsidR="00DF40E8" w:rsidRPr="005F36B9">
        <w:rPr>
          <w:spacing w:val="-4"/>
          <w:lang w:val="kk-KZ"/>
        </w:rPr>
        <w:t xml:space="preserve">трастузумабпен </w:t>
      </w:r>
      <w:r w:rsidRPr="005F36B9">
        <w:rPr>
          <w:spacing w:val="-4"/>
          <w:lang w:val="kk-KZ"/>
        </w:rPr>
        <w:t xml:space="preserve">емдеумен салыстырғанда (1 жылмен салыстырғанда 2 жыл ішінде ITT-популяциядағы DFS көрсеткіші бойынша </w:t>
      </w:r>
      <w:r w:rsidR="00FD0FD7" w:rsidRPr="005F36B9">
        <w:rPr>
          <w:spacing w:val="-4"/>
          <w:lang w:val="kk-KZ"/>
        </w:rPr>
        <w:t>ҚҚ</w:t>
      </w:r>
      <w:r w:rsidRPr="005F36B9">
        <w:rPr>
          <w:spacing w:val="-4"/>
          <w:lang w:val="kk-KZ"/>
        </w:rPr>
        <w:t xml:space="preserve"> =0.99 (95% СА: 0.87, 1.13), р-мәні=0.90 және ҚҚ жалпы өміршеңдік көрсеткіші бойынша (OS) =0.98 (0.83, 1.15); р-мәні=0.78)</w:t>
      </w:r>
      <w:r w:rsidR="00DF40E8" w:rsidRPr="005F36B9">
        <w:rPr>
          <w:spacing w:val="-4"/>
          <w:lang w:val="kk-KZ"/>
        </w:rPr>
        <w:t>.</w:t>
      </w:r>
      <w:r w:rsidRPr="005F36B9">
        <w:rPr>
          <w:spacing w:val="-4"/>
          <w:lang w:val="kk-KZ"/>
        </w:rPr>
        <w:t xml:space="preserve"> </w:t>
      </w:r>
      <w:r w:rsidR="00DF40E8" w:rsidRPr="005F36B9">
        <w:rPr>
          <w:spacing w:val="-4"/>
          <w:lang w:val="kk-KZ"/>
        </w:rPr>
        <w:t xml:space="preserve">Трастузумабпен </w:t>
      </w:r>
      <w:r w:rsidRPr="005F36B9">
        <w:rPr>
          <w:spacing w:val="-4"/>
          <w:lang w:val="kk-KZ"/>
        </w:rPr>
        <w:t>емдеуді 2 жылға дейін ұзартудың қосымша артықшылығы анықталған жоқ. Препаратпен емдеу тобында 2 жыл ішінде жүректің симптомсыз дисфункциясының даму жиілігі өсті (емдеу тобындағы 1 жыл ішіндегі 4.6%-бен салыстырғанда 8.1%). Кем дегенде 3 немесе 4 ауырлық дәрежесіндегі бір жағымсыз құбылысты бастан өткерген пациенттер препаратпен емдеу тобында 2 жыл ішінде (20.4%) емдеу тобымен салыстырғанда 1 жыл ішінде (16.3%) көп болды.</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 xml:space="preserve">NSABP В-31 және NCCTG N9831 зерттеулерінде </w:t>
      </w:r>
      <w:r w:rsidR="00107B0B" w:rsidRPr="005F36B9">
        <w:rPr>
          <w:spacing w:val="-4"/>
          <w:lang w:val="kk-KZ"/>
        </w:rPr>
        <w:t xml:space="preserve">трастузумабты </w:t>
      </w:r>
      <w:r w:rsidRPr="005F36B9">
        <w:rPr>
          <w:spacing w:val="-4"/>
          <w:lang w:val="kk-KZ"/>
        </w:rPr>
        <w:t>АС схемасы бойынша химиотерапиядан кейін паклитакселмен біріктірілімде қолданған.</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Доксорубицин мен циклофосфамид келесідей бірге тағайындалды:</w:t>
      </w:r>
    </w:p>
    <w:p w:rsidR="0050122F" w:rsidRPr="005F36B9" w:rsidRDefault="0050122F" w:rsidP="0050122F">
      <w:pPr>
        <w:pStyle w:val="ac"/>
        <w:numPr>
          <w:ilvl w:val="0"/>
          <w:numId w:val="5"/>
        </w:numPr>
        <w:spacing w:before="0" w:beforeAutospacing="0" w:after="0" w:afterAutospacing="0"/>
        <w:jc w:val="both"/>
        <w:rPr>
          <w:spacing w:val="-4"/>
          <w:lang w:val="kk-KZ"/>
        </w:rPr>
      </w:pPr>
      <w:r w:rsidRPr="005F36B9">
        <w:rPr>
          <w:spacing w:val="-4"/>
          <w:lang w:val="kk-KZ"/>
        </w:rPr>
        <w:t>доксорубицин емдеудің 4 циклі бойы әр 3 апта сайын 60 мг/м</w:t>
      </w:r>
      <w:r w:rsidRPr="005F36B9">
        <w:rPr>
          <w:spacing w:val="-4"/>
          <w:vertAlign w:val="superscript"/>
          <w:lang w:val="kk-KZ"/>
        </w:rPr>
        <w:t>2</w:t>
      </w:r>
      <w:r w:rsidRPr="005F36B9">
        <w:rPr>
          <w:spacing w:val="-4"/>
          <w:lang w:val="kk-KZ"/>
        </w:rPr>
        <w:t xml:space="preserve"> дозада вена ішіне болюсті</w:t>
      </w:r>
    </w:p>
    <w:p w:rsidR="0050122F" w:rsidRPr="005F36B9" w:rsidRDefault="0050122F" w:rsidP="0050122F">
      <w:pPr>
        <w:pStyle w:val="ac"/>
        <w:numPr>
          <w:ilvl w:val="0"/>
          <w:numId w:val="5"/>
        </w:numPr>
        <w:spacing w:before="0" w:beforeAutospacing="0" w:after="0" w:afterAutospacing="0"/>
        <w:jc w:val="both"/>
        <w:rPr>
          <w:spacing w:val="-4"/>
          <w:lang w:val="kk-KZ"/>
        </w:rPr>
      </w:pPr>
      <w:r w:rsidRPr="005F36B9">
        <w:rPr>
          <w:spacing w:val="-4"/>
          <w:lang w:val="kk-KZ"/>
        </w:rPr>
        <w:t>циклофосфамид емдеудің 4 циклі бойы әрбір 3 апта сайын 30 минут бойы 600 мг/м</w:t>
      </w:r>
      <w:r w:rsidRPr="005F36B9">
        <w:rPr>
          <w:spacing w:val="-4"/>
          <w:vertAlign w:val="superscript"/>
          <w:lang w:val="kk-KZ"/>
        </w:rPr>
        <w:t>2</w:t>
      </w:r>
      <w:r w:rsidRPr="005F36B9">
        <w:rPr>
          <w:spacing w:val="-4"/>
          <w:lang w:val="kk-KZ"/>
        </w:rPr>
        <w:t xml:space="preserve"> дозада вена ішіне енгізіледі.</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 xml:space="preserve">Паклитаксел </w:t>
      </w:r>
      <w:r w:rsidR="00107B0B" w:rsidRPr="005F36B9">
        <w:rPr>
          <w:spacing w:val="-4"/>
          <w:lang w:val="kk-KZ"/>
        </w:rPr>
        <w:t xml:space="preserve">трастузумабпен </w:t>
      </w:r>
      <w:r w:rsidRPr="005F36B9">
        <w:rPr>
          <w:spacing w:val="-4"/>
          <w:lang w:val="kk-KZ"/>
        </w:rPr>
        <w:t>біріктірілімде мынадай түрде тағайындалды:</w:t>
      </w:r>
    </w:p>
    <w:p w:rsidR="0050122F" w:rsidRPr="005F36B9" w:rsidRDefault="0050122F" w:rsidP="0050122F">
      <w:pPr>
        <w:pStyle w:val="ac"/>
        <w:numPr>
          <w:ilvl w:val="0"/>
          <w:numId w:val="5"/>
        </w:numPr>
        <w:spacing w:before="0" w:beforeAutospacing="0" w:after="0" w:afterAutospacing="0"/>
        <w:jc w:val="both"/>
        <w:rPr>
          <w:spacing w:val="-4"/>
          <w:lang w:val="kk-KZ"/>
        </w:rPr>
      </w:pPr>
      <w:r w:rsidRPr="005F36B9">
        <w:rPr>
          <w:spacing w:val="-4"/>
          <w:lang w:val="kk-KZ"/>
        </w:rPr>
        <w:t>паклитаксел 12 апта бойы аптасына 1 рет ұзақ вена ішіне инфузия түрінде 80 мг/м</w:t>
      </w:r>
      <w:r w:rsidRPr="005F36B9">
        <w:rPr>
          <w:spacing w:val="-4"/>
          <w:vertAlign w:val="superscript"/>
          <w:lang w:val="kk-KZ"/>
        </w:rPr>
        <w:t>2</w:t>
      </w:r>
      <w:r w:rsidRPr="005F36B9">
        <w:rPr>
          <w:spacing w:val="-4"/>
          <w:lang w:val="kk-KZ"/>
        </w:rPr>
        <w:t xml:space="preserve"> дозада вена ішіне енгізіледі</w:t>
      </w:r>
    </w:p>
    <w:p w:rsidR="0050122F" w:rsidRPr="005F36B9" w:rsidRDefault="0050122F" w:rsidP="0050122F">
      <w:pPr>
        <w:pStyle w:val="ac"/>
        <w:spacing w:before="0" w:beforeAutospacing="0" w:after="0" w:afterAutospacing="0"/>
        <w:ind w:left="360"/>
        <w:jc w:val="both"/>
        <w:rPr>
          <w:spacing w:val="-4"/>
          <w:lang w:val="ru-RU"/>
        </w:rPr>
      </w:pPr>
      <w:r w:rsidRPr="005F36B9">
        <w:rPr>
          <w:spacing w:val="-4"/>
          <w:lang w:val="kk-KZ"/>
        </w:rPr>
        <w:t>немесе</w:t>
      </w:r>
    </w:p>
    <w:p w:rsidR="0050122F" w:rsidRPr="005F36B9" w:rsidRDefault="0050122F" w:rsidP="0050122F">
      <w:pPr>
        <w:pStyle w:val="ac"/>
        <w:numPr>
          <w:ilvl w:val="0"/>
          <w:numId w:val="5"/>
        </w:numPr>
        <w:spacing w:before="0" w:beforeAutospacing="0" w:after="0" w:afterAutospacing="0"/>
        <w:jc w:val="both"/>
        <w:rPr>
          <w:spacing w:val="-4"/>
          <w:lang w:val="ru-RU"/>
        </w:rPr>
      </w:pPr>
      <w:r w:rsidRPr="005F36B9">
        <w:rPr>
          <w:spacing w:val="-4"/>
          <w:lang w:val="kk-KZ"/>
        </w:rPr>
        <w:t>паклитаксел емдеудің 4 циклі бойына әрбір 3 апта сайын (әрбір циклдің 1-күні) ұзақ вена ішіне инфузия түрінде 175 мг/м</w:t>
      </w:r>
      <w:r w:rsidRPr="005F36B9">
        <w:rPr>
          <w:spacing w:val="-4"/>
          <w:vertAlign w:val="superscript"/>
          <w:lang w:val="kk-KZ"/>
        </w:rPr>
        <w:t>2</w:t>
      </w:r>
      <w:r w:rsidRPr="005F36B9">
        <w:rPr>
          <w:spacing w:val="-4"/>
          <w:lang w:val="kk-KZ"/>
        </w:rPr>
        <w:t xml:space="preserve"> дозада венаішіне енгізіледі.</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DFS* түпкілікті талдау жүргізу сәтіндегі NSABP В-31 және NCCTG 9831 зерттеулерін біріктірілген талдау қорытындылары</w:t>
      </w:r>
      <w:r w:rsidR="00354BC2" w:rsidRPr="005F36B9">
        <w:rPr>
          <w:spacing w:val="-4"/>
          <w:lang w:val="kk-KZ"/>
        </w:rPr>
        <w:t xml:space="preserve"> бойынша тиімділік нәтижелері 6 </w:t>
      </w:r>
      <w:r w:rsidRPr="005F36B9">
        <w:rPr>
          <w:spacing w:val="-4"/>
          <w:lang w:val="kk-KZ"/>
        </w:rPr>
        <w:t>кестеде жалпыланған. Келесі бақылау ұзақтығының медианасы АС→Р тобындағы пациенттерде 1.8 жылды және АС→РН тобындағы пациенттерде 2.0 жылды құрады.</w:t>
      </w:r>
    </w:p>
    <w:p w:rsidR="0050122F" w:rsidRPr="005F36B9" w:rsidRDefault="0050122F" w:rsidP="0050122F">
      <w:pPr>
        <w:pStyle w:val="ac"/>
        <w:spacing w:before="0" w:beforeAutospacing="0" w:after="0" w:afterAutospacing="0"/>
        <w:jc w:val="both"/>
        <w:rPr>
          <w:b/>
          <w:spacing w:val="-4"/>
          <w:lang w:val="kk-KZ"/>
        </w:rPr>
      </w:pPr>
    </w:p>
    <w:p w:rsidR="0050122F" w:rsidRPr="005F36B9" w:rsidRDefault="00354BC2" w:rsidP="0050122F">
      <w:pPr>
        <w:pStyle w:val="ac"/>
        <w:spacing w:before="0" w:beforeAutospacing="0" w:after="0" w:afterAutospacing="0"/>
        <w:jc w:val="both"/>
        <w:rPr>
          <w:b/>
          <w:spacing w:val="-4"/>
          <w:lang w:val="kk-KZ"/>
        </w:rPr>
      </w:pPr>
      <w:r w:rsidRPr="005F36B9">
        <w:rPr>
          <w:b/>
          <w:spacing w:val="-4"/>
          <w:lang w:val="kk-KZ"/>
        </w:rPr>
        <w:t xml:space="preserve">6 </w:t>
      </w:r>
      <w:r w:rsidR="0050122F" w:rsidRPr="005F36B9">
        <w:rPr>
          <w:b/>
          <w:spacing w:val="-4"/>
          <w:lang w:val="kk-KZ"/>
        </w:rPr>
        <w:t>кесте. DFS* түпкілікті талдауын жүргізу сәтіндегі NSABP В-31 және NCCTG 9831 зерттеулерін біріктірілген талдау нәтижелері бойынша тиімділік нәтижелеріне шолу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259"/>
        <w:gridCol w:w="2260"/>
        <w:gridCol w:w="2402"/>
      </w:tblGrid>
      <w:tr w:rsidR="0050122F" w:rsidRPr="005F36B9" w:rsidTr="0050122F">
        <w:tc>
          <w:tcPr>
            <w:tcW w:w="2151"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rFonts w:hint="eastAsia"/>
                <w:spacing w:val="-4"/>
                <w:lang w:val="kk-KZ"/>
              </w:rPr>
              <w:t>Параметр</w:t>
            </w:r>
          </w:p>
        </w:tc>
        <w:tc>
          <w:tcPr>
            <w:tcW w:w="2259"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rFonts w:hint="eastAsia"/>
                <w:spacing w:val="-4"/>
                <w:lang w:val="kk-KZ"/>
              </w:rPr>
              <w:t>АС→Р</w:t>
            </w:r>
          </w:p>
          <w:p w:rsidR="0050122F" w:rsidRPr="005F36B9" w:rsidRDefault="0050122F" w:rsidP="0050122F">
            <w:pPr>
              <w:pStyle w:val="ac"/>
              <w:spacing w:before="0" w:beforeAutospacing="0" w:after="0" w:afterAutospacing="0"/>
              <w:jc w:val="center"/>
              <w:rPr>
                <w:spacing w:val="-4"/>
                <w:lang w:val="ru-RU"/>
              </w:rPr>
            </w:pPr>
            <w:r w:rsidRPr="005F36B9">
              <w:rPr>
                <w:rFonts w:hint="eastAsia"/>
                <w:spacing w:val="-4"/>
                <w:lang w:val="kk-KZ"/>
              </w:rPr>
              <w:lastRenderedPageBreak/>
              <w:t>(n=1679)</w:t>
            </w:r>
          </w:p>
        </w:tc>
        <w:tc>
          <w:tcPr>
            <w:tcW w:w="2260"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rFonts w:hint="eastAsia"/>
                <w:spacing w:val="-4"/>
                <w:lang w:val="kk-KZ"/>
              </w:rPr>
              <w:lastRenderedPageBreak/>
              <w:t>АС→РН</w:t>
            </w:r>
          </w:p>
          <w:p w:rsidR="0050122F" w:rsidRPr="005F36B9" w:rsidRDefault="0050122F" w:rsidP="0050122F">
            <w:pPr>
              <w:pStyle w:val="ac"/>
              <w:spacing w:before="0" w:beforeAutospacing="0" w:after="0" w:afterAutospacing="0"/>
              <w:jc w:val="center"/>
              <w:rPr>
                <w:spacing w:val="-4"/>
                <w:lang w:val="ru-RU"/>
              </w:rPr>
            </w:pPr>
            <w:r w:rsidRPr="005F36B9">
              <w:rPr>
                <w:rFonts w:hint="eastAsia"/>
                <w:spacing w:val="-4"/>
                <w:lang w:val="kk-KZ"/>
              </w:rPr>
              <w:lastRenderedPageBreak/>
              <w:t>(n=1672)</w:t>
            </w:r>
          </w:p>
        </w:tc>
        <w:tc>
          <w:tcPr>
            <w:tcW w:w="2402"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rFonts w:hint="eastAsia"/>
                <w:spacing w:val="-4"/>
                <w:lang w:val="kk-KZ"/>
              </w:rPr>
              <w:lastRenderedPageBreak/>
              <w:t xml:space="preserve">АС→Р </w:t>
            </w:r>
            <w:r w:rsidRPr="005F36B9">
              <w:rPr>
                <w:rFonts w:hint="eastAsia"/>
                <w:spacing w:val="-4"/>
                <w:lang w:val="kk-KZ"/>
              </w:rPr>
              <w:lastRenderedPageBreak/>
              <w:t>салыстырғанда қауіптер қатынасы</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(95% СА)</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р-мәні</w:t>
            </w:r>
          </w:p>
        </w:tc>
      </w:tr>
      <w:tr w:rsidR="0050122F" w:rsidRPr="005F36B9" w:rsidTr="0050122F">
        <w:tc>
          <w:tcPr>
            <w:tcW w:w="2151" w:type="dxa"/>
            <w:shd w:val="clear" w:color="auto" w:fill="auto"/>
          </w:tcPr>
          <w:p w:rsidR="0050122F" w:rsidRPr="005F36B9" w:rsidRDefault="0050122F" w:rsidP="0050122F">
            <w:pPr>
              <w:pStyle w:val="ac"/>
              <w:spacing w:before="0" w:beforeAutospacing="0" w:after="0" w:afterAutospacing="0"/>
              <w:rPr>
                <w:spacing w:val="-4"/>
              </w:rPr>
            </w:pPr>
            <w:r w:rsidRPr="005F36B9">
              <w:rPr>
                <w:spacing w:val="-4"/>
                <w:lang w:val="kk-KZ"/>
              </w:rPr>
              <w:lastRenderedPageBreak/>
              <w:t>Ауру белгілері жоқ өміршеңдік</w:t>
            </w:r>
          </w:p>
          <w:p w:rsidR="0050122F" w:rsidRPr="005F36B9" w:rsidRDefault="0050122F" w:rsidP="0050122F">
            <w:pPr>
              <w:pStyle w:val="ac"/>
              <w:spacing w:before="0" w:beforeAutospacing="0" w:after="0" w:afterAutospacing="0"/>
              <w:rPr>
                <w:b/>
                <w:spacing w:val="-4"/>
              </w:rPr>
            </w:pPr>
            <w:r w:rsidRPr="005F36B9">
              <w:rPr>
                <w:spacing w:val="-4"/>
                <w:lang w:val="kk-KZ"/>
              </w:rPr>
              <w:t>Оқиғасымен пациенттер саны (%)</w:t>
            </w:r>
          </w:p>
        </w:tc>
        <w:tc>
          <w:tcPr>
            <w:tcW w:w="2259" w:type="dxa"/>
            <w:shd w:val="clear" w:color="auto" w:fill="auto"/>
          </w:tcPr>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b/>
                <w:spacing w:val="-4"/>
                <w:lang w:val="ru-RU"/>
              </w:rPr>
            </w:pPr>
            <w:r w:rsidRPr="005F36B9">
              <w:rPr>
                <w:spacing w:val="-4"/>
                <w:lang w:val="kk-KZ"/>
              </w:rPr>
              <w:t>261 (15.5)</w:t>
            </w:r>
          </w:p>
        </w:tc>
        <w:tc>
          <w:tcPr>
            <w:tcW w:w="2260" w:type="dxa"/>
            <w:shd w:val="clear" w:color="auto" w:fill="auto"/>
          </w:tcPr>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b/>
                <w:spacing w:val="-4"/>
                <w:lang w:val="ru-RU"/>
              </w:rPr>
            </w:pPr>
            <w:r w:rsidRPr="005F36B9">
              <w:rPr>
                <w:spacing w:val="-4"/>
                <w:lang w:val="kk-KZ"/>
              </w:rPr>
              <w:t>133 (8.0)</w:t>
            </w:r>
          </w:p>
        </w:tc>
        <w:tc>
          <w:tcPr>
            <w:tcW w:w="2402" w:type="dxa"/>
            <w:shd w:val="clear" w:color="auto" w:fill="auto"/>
          </w:tcPr>
          <w:p w:rsidR="0050122F" w:rsidRPr="005F36B9" w:rsidRDefault="0050122F" w:rsidP="0050122F">
            <w:pPr>
              <w:pStyle w:val="Default"/>
              <w:jc w:val="center"/>
              <w:rPr>
                <w:color w:val="auto"/>
                <w:spacing w:val="-4"/>
              </w:rPr>
            </w:pPr>
          </w:p>
          <w:p w:rsidR="0050122F" w:rsidRPr="005F36B9" w:rsidRDefault="0050122F" w:rsidP="0050122F">
            <w:pPr>
              <w:pStyle w:val="Default"/>
              <w:jc w:val="center"/>
              <w:rPr>
                <w:color w:val="auto"/>
                <w:spacing w:val="-4"/>
              </w:rPr>
            </w:pPr>
          </w:p>
          <w:p w:rsidR="0050122F" w:rsidRPr="005F36B9" w:rsidRDefault="0050122F" w:rsidP="0050122F">
            <w:pPr>
              <w:pStyle w:val="Default"/>
              <w:jc w:val="center"/>
              <w:rPr>
                <w:color w:val="auto"/>
                <w:spacing w:val="-4"/>
              </w:rPr>
            </w:pPr>
            <w:r w:rsidRPr="005F36B9">
              <w:rPr>
                <w:color w:val="auto"/>
                <w:spacing w:val="-4"/>
                <w:lang w:val="kk-KZ"/>
              </w:rPr>
              <w:t>0.48 (0.39, 0.59)</w:t>
            </w:r>
          </w:p>
          <w:p w:rsidR="0050122F" w:rsidRPr="005F36B9" w:rsidRDefault="0050122F" w:rsidP="0050122F">
            <w:pPr>
              <w:pStyle w:val="ac"/>
              <w:spacing w:before="0" w:beforeAutospacing="0" w:after="0" w:afterAutospacing="0"/>
              <w:jc w:val="center"/>
              <w:rPr>
                <w:b/>
                <w:spacing w:val="-4"/>
                <w:lang w:val="ru-RU"/>
              </w:rPr>
            </w:pPr>
            <w:r w:rsidRPr="005F36B9">
              <w:rPr>
                <w:spacing w:val="-4"/>
                <w:lang w:val="kk-KZ"/>
              </w:rPr>
              <w:t>p&lt;0.0001</w:t>
            </w:r>
          </w:p>
        </w:tc>
      </w:tr>
      <w:tr w:rsidR="0050122F" w:rsidRPr="005F36B9" w:rsidTr="0050122F">
        <w:tc>
          <w:tcPr>
            <w:tcW w:w="2151" w:type="dxa"/>
            <w:shd w:val="clear" w:color="auto" w:fill="auto"/>
          </w:tcPr>
          <w:p w:rsidR="0050122F" w:rsidRPr="005F36B9" w:rsidRDefault="0050122F" w:rsidP="0050122F">
            <w:pPr>
              <w:pStyle w:val="ac"/>
              <w:spacing w:before="0" w:beforeAutospacing="0" w:after="0" w:afterAutospacing="0"/>
              <w:rPr>
                <w:spacing w:val="-4"/>
              </w:rPr>
            </w:pPr>
            <w:r w:rsidRPr="005F36B9">
              <w:rPr>
                <w:spacing w:val="-4"/>
                <w:lang w:val="kk-KZ"/>
              </w:rPr>
              <w:t>Кейіннен қайталану</w:t>
            </w:r>
          </w:p>
          <w:p w:rsidR="0050122F" w:rsidRPr="005F36B9" w:rsidRDefault="0050122F" w:rsidP="0050122F">
            <w:pPr>
              <w:pStyle w:val="ac"/>
              <w:spacing w:before="0" w:beforeAutospacing="0" w:after="0" w:afterAutospacing="0"/>
              <w:rPr>
                <w:b/>
                <w:spacing w:val="-4"/>
              </w:rPr>
            </w:pPr>
            <w:r w:rsidRPr="005F36B9">
              <w:rPr>
                <w:spacing w:val="-4"/>
                <w:lang w:val="kk-KZ"/>
              </w:rPr>
              <w:t>Оқиғасымен пациенттер саны</w:t>
            </w:r>
          </w:p>
        </w:tc>
        <w:tc>
          <w:tcPr>
            <w:tcW w:w="2259" w:type="dxa"/>
            <w:shd w:val="clear" w:color="auto" w:fill="auto"/>
          </w:tcPr>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b/>
                <w:spacing w:val="-4"/>
                <w:lang w:val="ru-RU"/>
              </w:rPr>
            </w:pPr>
            <w:r w:rsidRPr="005F36B9">
              <w:rPr>
                <w:spacing w:val="-4"/>
                <w:lang w:val="kk-KZ"/>
              </w:rPr>
              <w:t>193 (11.5)</w:t>
            </w:r>
          </w:p>
        </w:tc>
        <w:tc>
          <w:tcPr>
            <w:tcW w:w="2260" w:type="dxa"/>
            <w:shd w:val="clear" w:color="auto" w:fill="auto"/>
          </w:tcPr>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b/>
                <w:spacing w:val="-4"/>
                <w:lang w:val="ru-RU"/>
              </w:rPr>
            </w:pPr>
            <w:r w:rsidRPr="005F36B9">
              <w:rPr>
                <w:spacing w:val="-4"/>
                <w:lang w:val="kk-KZ"/>
              </w:rPr>
              <w:t>96 (5.7)</w:t>
            </w:r>
          </w:p>
        </w:tc>
        <w:tc>
          <w:tcPr>
            <w:tcW w:w="2402" w:type="dxa"/>
            <w:shd w:val="clear" w:color="auto" w:fill="auto"/>
          </w:tcPr>
          <w:p w:rsidR="0050122F" w:rsidRPr="005F36B9" w:rsidRDefault="0050122F" w:rsidP="0050122F">
            <w:pPr>
              <w:pStyle w:val="Default"/>
              <w:jc w:val="center"/>
              <w:rPr>
                <w:color w:val="auto"/>
                <w:spacing w:val="-4"/>
              </w:rPr>
            </w:pPr>
          </w:p>
          <w:p w:rsidR="0050122F" w:rsidRPr="005F36B9" w:rsidRDefault="0050122F" w:rsidP="0050122F">
            <w:pPr>
              <w:pStyle w:val="Default"/>
              <w:jc w:val="center"/>
              <w:rPr>
                <w:color w:val="auto"/>
                <w:spacing w:val="-4"/>
              </w:rPr>
            </w:pPr>
            <w:r w:rsidRPr="005F36B9">
              <w:rPr>
                <w:color w:val="auto"/>
                <w:spacing w:val="-4"/>
                <w:lang w:val="kk-KZ"/>
              </w:rPr>
              <w:t>0.47 (0.37, 0.60)</w:t>
            </w:r>
          </w:p>
          <w:p w:rsidR="0050122F" w:rsidRPr="005F36B9" w:rsidRDefault="0050122F" w:rsidP="0050122F">
            <w:pPr>
              <w:pStyle w:val="ac"/>
              <w:spacing w:before="0" w:beforeAutospacing="0" w:after="0" w:afterAutospacing="0"/>
              <w:jc w:val="center"/>
              <w:rPr>
                <w:b/>
                <w:spacing w:val="-4"/>
                <w:lang w:val="ru-RU"/>
              </w:rPr>
            </w:pPr>
            <w:r w:rsidRPr="005F36B9">
              <w:rPr>
                <w:spacing w:val="-4"/>
                <w:lang w:val="kk-KZ"/>
              </w:rPr>
              <w:t>p&lt;0.0001</w:t>
            </w:r>
          </w:p>
        </w:tc>
      </w:tr>
      <w:tr w:rsidR="0050122F" w:rsidRPr="005F36B9" w:rsidTr="0050122F">
        <w:tc>
          <w:tcPr>
            <w:tcW w:w="2151" w:type="dxa"/>
            <w:shd w:val="clear" w:color="auto" w:fill="auto"/>
          </w:tcPr>
          <w:p w:rsidR="0050122F" w:rsidRPr="005F36B9" w:rsidRDefault="0050122F" w:rsidP="0050122F">
            <w:pPr>
              <w:pStyle w:val="ac"/>
              <w:spacing w:before="0" w:beforeAutospacing="0" w:after="0" w:afterAutospacing="0"/>
              <w:rPr>
                <w:spacing w:val="-4"/>
              </w:rPr>
            </w:pPr>
            <w:r w:rsidRPr="005F36B9">
              <w:rPr>
                <w:spacing w:val="-4"/>
                <w:lang w:val="kk-KZ"/>
              </w:rPr>
              <w:t>Өліммен аяқталған жағдай (OS):</w:t>
            </w:r>
          </w:p>
          <w:p w:rsidR="0050122F" w:rsidRPr="005F36B9" w:rsidRDefault="0050122F" w:rsidP="0050122F">
            <w:pPr>
              <w:pStyle w:val="ac"/>
              <w:spacing w:before="0" w:beforeAutospacing="0" w:after="0" w:afterAutospacing="0"/>
              <w:rPr>
                <w:b/>
                <w:spacing w:val="-4"/>
              </w:rPr>
            </w:pPr>
            <w:r w:rsidRPr="005F36B9">
              <w:rPr>
                <w:spacing w:val="-4"/>
                <w:lang w:val="kk-KZ"/>
              </w:rPr>
              <w:t>Оқиғасымен пациенттер саны</w:t>
            </w:r>
          </w:p>
        </w:tc>
        <w:tc>
          <w:tcPr>
            <w:tcW w:w="2259" w:type="dxa"/>
            <w:shd w:val="clear" w:color="auto" w:fill="auto"/>
          </w:tcPr>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b/>
                <w:spacing w:val="-4"/>
                <w:lang w:val="ru-RU"/>
              </w:rPr>
            </w:pPr>
            <w:r w:rsidRPr="005F36B9">
              <w:rPr>
                <w:spacing w:val="-4"/>
                <w:lang w:val="kk-KZ"/>
              </w:rPr>
              <w:t>92 (5.5)</w:t>
            </w:r>
          </w:p>
        </w:tc>
        <w:tc>
          <w:tcPr>
            <w:tcW w:w="2260" w:type="dxa"/>
            <w:shd w:val="clear" w:color="auto" w:fill="auto"/>
          </w:tcPr>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b/>
                <w:spacing w:val="-4"/>
                <w:lang w:val="ru-RU"/>
              </w:rPr>
            </w:pPr>
            <w:r w:rsidRPr="005F36B9">
              <w:rPr>
                <w:spacing w:val="-4"/>
                <w:lang w:val="kk-KZ"/>
              </w:rPr>
              <w:t>62 (3.7)</w:t>
            </w:r>
          </w:p>
        </w:tc>
        <w:tc>
          <w:tcPr>
            <w:tcW w:w="2402" w:type="dxa"/>
            <w:shd w:val="clear" w:color="auto" w:fill="auto"/>
          </w:tcPr>
          <w:p w:rsidR="0050122F" w:rsidRPr="005F36B9" w:rsidRDefault="0050122F" w:rsidP="0050122F">
            <w:pPr>
              <w:pStyle w:val="Default"/>
              <w:jc w:val="center"/>
              <w:rPr>
                <w:color w:val="auto"/>
                <w:spacing w:val="-4"/>
              </w:rPr>
            </w:pPr>
          </w:p>
          <w:p w:rsidR="0050122F" w:rsidRPr="005F36B9" w:rsidRDefault="0050122F" w:rsidP="0050122F">
            <w:pPr>
              <w:pStyle w:val="Default"/>
              <w:jc w:val="center"/>
              <w:rPr>
                <w:color w:val="auto"/>
                <w:spacing w:val="-4"/>
              </w:rPr>
            </w:pPr>
          </w:p>
          <w:p w:rsidR="0050122F" w:rsidRPr="005F36B9" w:rsidRDefault="0050122F" w:rsidP="0050122F">
            <w:pPr>
              <w:pStyle w:val="Default"/>
              <w:jc w:val="center"/>
              <w:rPr>
                <w:color w:val="auto"/>
                <w:spacing w:val="-4"/>
              </w:rPr>
            </w:pPr>
            <w:r w:rsidRPr="005F36B9">
              <w:rPr>
                <w:color w:val="auto"/>
                <w:spacing w:val="-4"/>
                <w:lang w:val="kk-KZ"/>
              </w:rPr>
              <w:t>0.67 (0.48, 0.92)</w:t>
            </w:r>
          </w:p>
          <w:p w:rsidR="0050122F" w:rsidRPr="005F36B9" w:rsidRDefault="0050122F" w:rsidP="0050122F">
            <w:pPr>
              <w:pStyle w:val="ac"/>
              <w:spacing w:before="0" w:beforeAutospacing="0" w:after="0" w:afterAutospacing="0"/>
              <w:jc w:val="center"/>
              <w:rPr>
                <w:b/>
                <w:spacing w:val="-4"/>
                <w:lang w:val="ru-RU"/>
              </w:rPr>
            </w:pPr>
            <w:r w:rsidRPr="005F36B9">
              <w:rPr>
                <w:spacing w:val="-4"/>
                <w:lang w:val="kk-KZ"/>
              </w:rPr>
              <w:t>p=0.014**</w:t>
            </w:r>
          </w:p>
        </w:tc>
      </w:tr>
    </w:tbl>
    <w:p w:rsidR="0050122F" w:rsidRPr="005F36B9" w:rsidRDefault="0050122F" w:rsidP="0050122F">
      <w:pPr>
        <w:pStyle w:val="ac"/>
        <w:spacing w:before="0" w:beforeAutospacing="0" w:after="0" w:afterAutospacing="0"/>
        <w:jc w:val="both"/>
        <w:rPr>
          <w:spacing w:val="-4"/>
          <w:lang w:val="ru-RU"/>
        </w:rPr>
      </w:pPr>
      <w:r w:rsidRPr="005F36B9">
        <w:rPr>
          <w:spacing w:val="-4"/>
          <w:lang w:val="kk-KZ"/>
        </w:rPr>
        <w:t>А: доксорубицин; С: циклофосфамид; Р: паклитаксел; Н: трастузумаб</w:t>
      </w:r>
    </w:p>
    <w:p w:rsidR="0050122F" w:rsidRPr="005F36B9" w:rsidRDefault="0050122F" w:rsidP="0050122F">
      <w:pPr>
        <w:pStyle w:val="ac"/>
        <w:spacing w:before="0" w:beforeAutospacing="0" w:after="0" w:afterAutospacing="0"/>
        <w:jc w:val="both"/>
        <w:rPr>
          <w:spacing w:val="-4"/>
          <w:lang w:val="ru-RU"/>
        </w:rPr>
      </w:pPr>
      <w:r w:rsidRPr="005F36B9">
        <w:rPr>
          <w:rFonts w:hint="eastAsia"/>
          <w:spacing w:val="-4"/>
          <w:lang w:val="kk-KZ"/>
        </w:rPr>
        <w:t>* кейінгі бақылау ұзақтығының медианасы кезінде АС→Р тобындағы пациенттерде 1.8 жыл және АС→PH тобындағы пациенттерде 2.0 жыл</w:t>
      </w:r>
    </w:p>
    <w:p w:rsidR="0050122F" w:rsidRPr="005F36B9" w:rsidRDefault="0050122F" w:rsidP="0050122F">
      <w:pPr>
        <w:pStyle w:val="ac"/>
        <w:spacing w:before="0" w:beforeAutospacing="0" w:after="0" w:afterAutospacing="0"/>
        <w:jc w:val="both"/>
        <w:rPr>
          <w:spacing w:val="-4"/>
          <w:lang w:val="ru-RU"/>
        </w:rPr>
      </w:pPr>
      <w:r w:rsidRPr="005F36B9">
        <w:rPr>
          <w:rFonts w:hint="eastAsia"/>
          <w:spacing w:val="-4"/>
          <w:lang w:val="kk-KZ"/>
        </w:rPr>
        <w:t>** AC→PH және AC→P схемаларын салыстыру кезінде OS үшін p-мәні алдын-ала белгіленген статистикалық шегіненөтпеген.</w:t>
      </w:r>
    </w:p>
    <w:p w:rsidR="0050122F" w:rsidRPr="005F36B9" w:rsidRDefault="0050122F" w:rsidP="0050122F">
      <w:pPr>
        <w:pStyle w:val="ac"/>
        <w:spacing w:before="0" w:beforeAutospacing="0" w:after="0" w:afterAutospacing="0"/>
        <w:jc w:val="both"/>
        <w:rPr>
          <w:spacing w:val="-4"/>
          <w:lang w:val="ru-RU"/>
        </w:rPr>
      </w:pP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 xml:space="preserve">DFS бастапқы ақырғы нүктесі үшін паклитакселмен жүргізілетін химиотерапияға </w:t>
      </w:r>
      <w:r w:rsidR="00107B0B" w:rsidRPr="005F36B9">
        <w:rPr>
          <w:spacing w:val="-4"/>
          <w:lang w:val="kk-KZ"/>
        </w:rPr>
        <w:t xml:space="preserve">трастузумабты </w:t>
      </w:r>
      <w:r w:rsidRPr="005F36B9">
        <w:rPr>
          <w:spacing w:val="-4"/>
          <w:lang w:val="kk-KZ"/>
        </w:rPr>
        <w:t>қосу аурудың қайталану қаупінің 52%-ға төмендеуіне әкелді. Қауіптердің қатынасы ауру белгілерінсіз 3 жылдық өміршеңдік көрсеткіші бойынша абсолюттік артықшылық ретінде түсіндіріледі және АС→PH (</w:t>
      </w:r>
      <w:r w:rsidR="00107B0B" w:rsidRPr="005F36B9">
        <w:rPr>
          <w:spacing w:val="-4"/>
          <w:lang w:val="kk-KZ"/>
        </w:rPr>
        <w:t>трастузумаб</w:t>
      </w:r>
      <w:r w:rsidRPr="005F36B9">
        <w:rPr>
          <w:spacing w:val="-4"/>
          <w:lang w:val="kk-KZ"/>
        </w:rPr>
        <w:t xml:space="preserve">) тобында 11.8%-ға жоғары (75.4%-бен салыстырғанда 87.2%). </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 xml:space="preserve">3.5-3.8 жылдық бақылау медианасынан кейін қауіпсіздік деректерін жаңарту кезінде DFS талдауы DFS қорытынды талдауында көрсетілген артықшылықты қайта растайды. Пациенттердің бақылау тобынан </w:t>
      </w:r>
      <w:r w:rsidR="00107B0B" w:rsidRPr="005F36B9">
        <w:rPr>
          <w:spacing w:val="-4"/>
          <w:lang w:val="kk-KZ"/>
        </w:rPr>
        <w:t>трастузумабты</w:t>
      </w:r>
      <w:r w:rsidRPr="005F36B9">
        <w:rPr>
          <w:spacing w:val="-4"/>
          <w:lang w:val="kk-KZ"/>
        </w:rPr>
        <w:t xml:space="preserve">қабылдауға ауысуына қарамастан, оның паклитакселмен жүргізілетін химиотерапияға қосылуы аурудың қайталану қаупінің 52%-ға төмендеуіне әкелді. </w:t>
      </w:r>
      <w:r w:rsidR="00107B0B" w:rsidRPr="005F36B9">
        <w:rPr>
          <w:spacing w:val="-4"/>
          <w:lang w:val="kk-KZ"/>
        </w:rPr>
        <w:t xml:space="preserve">Трастузумабты </w:t>
      </w:r>
      <w:r w:rsidRPr="005F36B9">
        <w:rPr>
          <w:spacing w:val="-4"/>
          <w:lang w:val="kk-KZ"/>
        </w:rPr>
        <w:t>паклитакселмен жүргізілетін химиотерапияға қосу да өлім қаупінің 37%-ға төмендеуіне әкелді.</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 xml:space="preserve">NSABP В-31 және NCCTG N9831 бірлескен зерттеулерінің нәтижелері бойынша OS алдын-ала қорытынды талдауы 707 өліммен аяқталған жағдайдан кейін жүргізілді (кейінгі бақылау медианасы АС→РН тобында 8.3 жыл құрады). АС→PH схемасын қолдану АС→Р схемасын қолданумен салыстырғанда OS көрсеткішінің статистикалық маңызды жақсаруына әкелді (стратификацияланған ҚҚ=0.64; 95% СА [0.55, 0.74]; логрангтік критерий р-мәні &lt;0.0001) 8 жылға қарай өміршеңдік жиілігі AC→P тобында 86.9%-ды және AC→P тобында 79.4%-ды құрады, бұл 7.4% абсолютті артықшылық (95% СА 4.9%, 10.0%). </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NSABP В-31 және NCCTG N9831 зерттеулерін бірлесіп талдау нәтижелері бойынш</w:t>
      </w:r>
      <w:r w:rsidR="00354BC2" w:rsidRPr="005F36B9">
        <w:rPr>
          <w:spacing w:val="-4"/>
          <w:lang w:val="kk-KZ"/>
        </w:rPr>
        <w:t xml:space="preserve">а алынған OS соңғы нәтижелері 7 </w:t>
      </w:r>
      <w:r w:rsidRPr="005F36B9">
        <w:rPr>
          <w:spacing w:val="-4"/>
          <w:lang w:val="kk-KZ"/>
        </w:rPr>
        <w:t>кестеде келтірілген:</w:t>
      </w:r>
    </w:p>
    <w:p w:rsidR="0050122F" w:rsidRPr="005F36B9" w:rsidRDefault="0050122F" w:rsidP="0050122F">
      <w:pPr>
        <w:pStyle w:val="ac"/>
        <w:spacing w:before="0" w:beforeAutospacing="0" w:after="0" w:afterAutospacing="0"/>
        <w:jc w:val="both"/>
        <w:rPr>
          <w:b/>
          <w:spacing w:val="-4"/>
          <w:lang w:val="kk-KZ"/>
        </w:rPr>
      </w:pPr>
    </w:p>
    <w:p w:rsidR="0050122F" w:rsidRPr="005F36B9" w:rsidRDefault="00354BC2" w:rsidP="0050122F">
      <w:pPr>
        <w:pStyle w:val="ac"/>
        <w:spacing w:before="0" w:beforeAutospacing="0" w:after="0" w:afterAutospacing="0"/>
        <w:jc w:val="both"/>
        <w:rPr>
          <w:b/>
          <w:spacing w:val="-4"/>
          <w:lang w:val="kk-KZ"/>
        </w:rPr>
      </w:pPr>
      <w:r w:rsidRPr="005F36B9">
        <w:rPr>
          <w:b/>
          <w:spacing w:val="-4"/>
          <w:lang w:val="kk-KZ"/>
        </w:rPr>
        <w:t xml:space="preserve">7 </w:t>
      </w:r>
      <w:r w:rsidR="0050122F" w:rsidRPr="005F36B9">
        <w:rPr>
          <w:b/>
          <w:spacing w:val="-4"/>
          <w:lang w:val="kk-KZ"/>
        </w:rPr>
        <w:t>кесте. NSABP В-31 және NCCTG N9831 бірлескен зерттеулерінің нәтижелері бойынша OS қорытынды талдауы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807"/>
        <w:gridCol w:w="1808"/>
        <w:gridCol w:w="1808"/>
        <w:gridCol w:w="1950"/>
      </w:tblGrid>
      <w:tr w:rsidR="0050122F" w:rsidRPr="005F36B9" w:rsidTr="0050122F">
        <w:tc>
          <w:tcPr>
            <w:tcW w:w="1699" w:type="dxa"/>
            <w:tcBorders>
              <w:bottom w:val="single" w:sz="4" w:space="0" w:color="auto"/>
            </w:tcBorders>
            <w:shd w:val="clear" w:color="auto" w:fill="auto"/>
          </w:tcPr>
          <w:p w:rsidR="0050122F" w:rsidRPr="005F36B9" w:rsidRDefault="0050122F" w:rsidP="0050122F">
            <w:pPr>
              <w:pStyle w:val="ac"/>
              <w:spacing w:before="0" w:beforeAutospacing="0" w:after="0" w:afterAutospacing="0"/>
              <w:jc w:val="center"/>
              <w:rPr>
                <w:b/>
                <w:spacing w:val="-4"/>
                <w:lang w:val="ru-RU"/>
              </w:rPr>
            </w:pPr>
            <w:r w:rsidRPr="005F36B9">
              <w:rPr>
                <w:rFonts w:hint="eastAsia"/>
                <w:spacing w:val="-4"/>
                <w:lang w:val="kk-KZ"/>
              </w:rPr>
              <w:t>Параметр</w:t>
            </w:r>
          </w:p>
        </w:tc>
        <w:tc>
          <w:tcPr>
            <w:tcW w:w="1807" w:type="dxa"/>
            <w:tcBorders>
              <w:bottom w:val="single" w:sz="4" w:space="0" w:color="auto"/>
            </w:tcBorders>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rFonts w:hint="eastAsia"/>
                <w:spacing w:val="-4"/>
                <w:lang w:val="kk-KZ"/>
              </w:rPr>
              <w:t>АС→Р</w:t>
            </w:r>
          </w:p>
          <w:p w:rsidR="0050122F" w:rsidRPr="005F36B9" w:rsidRDefault="0050122F" w:rsidP="0050122F">
            <w:pPr>
              <w:pStyle w:val="ac"/>
              <w:spacing w:before="0" w:beforeAutospacing="0" w:after="0" w:afterAutospacing="0"/>
              <w:jc w:val="center"/>
              <w:rPr>
                <w:b/>
                <w:spacing w:val="-4"/>
                <w:lang w:val="ru-RU"/>
              </w:rPr>
            </w:pPr>
            <w:r w:rsidRPr="005F36B9">
              <w:rPr>
                <w:rFonts w:hint="eastAsia"/>
                <w:spacing w:val="-4"/>
                <w:lang w:val="kk-KZ"/>
              </w:rPr>
              <w:t>(n=2032)</w:t>
            </w:r>
          </w:p>
        </w:tc>
        <w:tc>
          <w:tcPr>
            <w:tcW w:w="1808" w:type="dxa"/>
            <w:tcBorders>
              <w:bottom w:val="single" w:sz="4" w:space="0" w:color="auto"/>
            </w:tcBorders>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rFonts w:hint="eastAsia"/>
                <w:spacing w:val="-4"/>
                <w:lang w:val="kk-KZ"/>
              </w:rPr>
              <w:t>АС→РН</w:t>
            </w:r>
          </w:p>
          <w:p w:rsidR="0050122F" w:rsidRPr="005F36B9" w:rsidRDefault="0050122F" w:rsidP="0050122F">
            <w:pPr>
              <w:pStyle w:val="ac"/>
              <w:spacing w:before="0" w:beforeAutospacing="0" w:after="0" w:afterAutospacing="0"/>
              <w:jc w:val="center"/>
              <w:rPr>
                <w:b/>
                <w:spacing w:val="-4"/>
                <w:lang w:val="ru-RU"/>
              </w:rPr>
            </w:pPr>
            <w:r w:rsidRPr="005F36B9">
              <w:rPr>
                <w:rFonts w:hint="eastAsia"/>
                <w:spacing w:val="-4"/>
                <w:lang w:val="kk-KZ"/>
              </w:rPr>
              <w:t>(n=2031)</w:t>
            </w:r>
          </w:p>
        </w:tc>
        <w:tc>
          <w:tcPr>
            <w:tcW w:w="1808" w:type="dxa"/>
            <w:tcBorders>
              <w:bottom w:val="single" w:sz="4" w:space="0" w:color="auto"/>
            </w:tcBorders>
            <w:shd w:val="clear" w:color="auto" w:fill="auto"/>
          </w:tcPr>
          <w:p w:rsidR="0050122F" w:rsidRPr="005F36B9" w:rsidRDefault="0050122F" w:rsidP="0050122F">
            <w:pPr>
              <w:pStyle w:val="ac"/>
              <w:spacing w:before="0" w:beforeAutospacing="0" w:after="0" w:afterAutospacing="0"/>
              <w:jc w:val="center"/>
              <w:rPr>
                <w:b/>
                <w:spacing w:val="-4"/>
                <w:lang w:val="ru-RU"/>
              </w:rPr>
            </w:pPr>
            <w:r w:rsidRPr="005F36B9">
              <w:rPr>
                <w:spacing w:val="-4"/>
                <w:lang w:val="kk-KZ"/>
              </w:rPr>
              <w:t>АС→Р-мен салыстырғанда р-мәні</w:t>
            </w:r>
          </w:p>
        </w:tc>
        <w:tc>
          <w:tcPr>
            <w:tcW w:w="1950" w:type="dxa"/>
            <w:tcBorders>
              <w:bottom w:val="single" w:sz="4" w:space="0" w:color="auto"/>
            </w:tcBorders>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rFonts w:hint="eastAsia"/>
                <w:spacing w:val="-4"/>
                <w:lang w:val="kk-KZ"/>
              </w:rPr>
              <w:t>АС→Р салыстырғанда қауіптер қатынасы</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(95% СА)</w:t>
            </w:r>
          </w:p>
        </w:tc>
      </w:tr>
      <w:tr w:rsidR="0050122F" w:rsidRPr="005F36B9" w:rsidTr="0050122F">
        <w:tc>
          <w:tcPr>
            <w:tcW w:w="1699" w:type="dxa"/>
            <w:tcBorders>
              <w:bottom w:val="single" w:sz="4" w:space="0" w:color="auto"/>
            </w:tcBorders>
            <w:shd w:val="clear" w:color="auto" w:fill="auto"/>
          </w:tcPr>
          <w:p w:rsidR="0050122F" w:rsidRPr="005F36B9" w:rsidRDefault="0050122F" w:rsidP="0050122F">
            <w:pPr>
              <w:pStyle w:val="ac"/>
              <w:spacing w:before="0" w:beforeAutospacing="0" w:after="0" w:afterAutospacing="0"/>
              <w:rPr>
                <w:spacing w:val="-4"/>
                <w:lang w:val="ru-RU"/>
              </w:rPr>
            </w:pPr>
            <w:r w:rsidRPr="005F36B9">
              <w:rPr>
                <w:spacing w:val="-4"/>
                <w:lang w:val="kk-KZ"/>
              </w:rPr>
              <w:lastRenderedPageBreak/>
              <w:t>Өліммен аяқталған жағдай (OS):</w:t>
            </w:r>
          </w:p>
          <w:p w:rsidR="0050122F" w:rsidRPr="005F36B9" w:rsidRDefault="0050122F" w:rsidP="0050122F">
            <w:pPr>
              <w:pStyle w:val="ac"/>
              <w:spacing w:before="0" w:beforeAutospacing="0" w:after="0" w:afterAutospacing="0"/>
              <w:rPr>
                <w:b/>
                <w:spacing w:val="-4"/>
                <w:lang w:val="ru-RU"/>
              </w:rPr>
            </w:pPr>
            <w:r w:rsidRPr="005F36B9">
              <w:rPr>
                <w:spacing w:val="-4"/>
                <w:lang w:val="kk-KZ"/>
              </w:rPr>
              <w:t>Оқиғасымен пациенттер саны (%)</w:t>
            </w:r>
          </w:p>
        </w:tc>
        <w:tc>
          <w:tcPr>
            <w:tcW w:w="1807" w:type="dxa"/>
            <w:tcBorders>
              <w:bottom w:val="single" w:sz="4" w:space="0" w:color="auto"/>
            </w:tcBorders>
            <w:shd w:val="clear" w:color="auto" w:fill="auto"/>
          </w:tcPr>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b/>
                <w:spacing w:val="-4"/>
                <w:lang w:val="ru-RU"/>
              </w:rPr>
            </w:pPr>
            <w:r w:rsidRPr="005F36B9">
              <w:rPr>
                <w:spacing w:val="-4"/>
                <w:lang w:val="kk-KZ"/>
              </w:rPr>
              <w:t>418 (20.6%)</w:t>
            </w:r>
          </w:p>
        </w:tc>
        <w:tc>
          <w:tcPr>
            <w:tcW w:w="1808" w:type="dxa"/>
            <w:tcBorders>
              <w:bottom w:val="single" w:sz="4" w:space="0" w:color="auto"/>
            </w:tcBorders>
            <w:shd w:val="clear" w:color="auto" w:fill="auto"/>
          </w:tcPr>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b/>
                <w:spacing w:val="-4"/>
                <w:lang w:val="ru-RU"/>
              </w:rPr>
            </w:pPr>
            <w:r w:rsidRPr="005F36B9">
              <w:rPr>
                <w:spacing w:val="-4"/>
                <w:lang w:val="kk-KZ"/>
              </w:rPr>
              <w:t>289 (14.2%)</w:t>
            </w:r>
          </w:p>
        </w:tc>
        <w:tc>
          <w:tcPr>
            <w:tcW w:w="1808" w:type="dxa"/>
            <w:tcBorders>
              <w:bottom w:val="single" w:sz="4" w:space="0" w:color="auto"/>
            </w:tcBorders>
            <w:shd w:val="clear" w:color="auto" w:fill="auto"/>
          </w:tcPr>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b/>
                <w:spacing w:val="-4"/>
                <w:lang w:val="ru-RU"/>
              </w:rPr>
            </w:pPr>
            <w:r w:rsidRPr="005F36B9">
              <w:rPr>
                <w:spacing w:val="-4"/>
                <w:lang w:val="kk-KZ"/>
              </w:rPr>
              <w:t>&lt;0.0001</w:t>
            </w:r>
          </w:p>
        </w:tc>
        <w:tc>
          <w:tcPr>
            <w:tcW w:w="1950" w:type="dxa"/>
            <w:tcBorders>
              <w:bottom w:val="single" w:sz="4" w:space="0" w:color="auto"/>
            </w:tcBorders>
            <w:shd w:val="clear" w:color="auto" w:fill="auto"/>
          </w:tcPr>
          <w:p w:rsidR="0050122F" w:rsidRPr="005F36B9" w:rsidRDefault="0050122F" w:rsidP="0050122F">
            <w:pPr>
              <w:pStyle w:val="Default"/>
              <w:jc w:val="center"/>
              <w:rPr>
                <w:color w:val="auto"/>
                <w:spacing w:val="-4"/>
              </w:rPr>
            </w:pPr>
          </w:p>
          <w:p w:rsidR="0050122F" w:rsidRPr="005F36B9" w:rsidRDefault="0050122F" w:rsidP="0050122F">
            <w:pPr>
              <w:pStyle w:val="Default"/>
              <w:jc w:val="center"/>
              <w:rPr>
                <w:color w:val="auto"/>
                <w:spacing w:val="-4"/>
              </w:rPr>
            </w:pPr>
          </w:p>
          <w:p w:rsidR="0050122F" w:rsidRPr="005F36B9" w:rsidRDefault="0050122F" w:rsidP="0050122F">
            <w:pPr>
              <w:pStyle w:val="Default"/>
              <w:jc w:val="center"/>
              <w:rPr>
                <w:color w:val="auto"/>
                <w:spacing w:val="-4"/>
              </w:rPr>
            </w:pPr>
            <w:r w:rsidRPr="005F36B9">
              <w:rPr>
                <w:color w:val="auto"/>
                <w:spacing w:val="-4"/>
                <w:lang w:val="kk-KZ"/>
              </w:rPr>
              <w:t>0.64</w:t>
            </w:r>
          </w:p>
          <w:p w:rsidR="0050122F" w:rsidRPr="005F36B9" w:rsidRDefault="0050122F" w:rsidP="0050122F">
            <w:pPr>
              <w:pStyle w:val="ac"/>
              <w:spacing w:before="0" w:beforeAutospacing="0" w:after="0" w:afterAutospacing="0"/>
              <w:jc w:val="center"/>
              <w:rPr>
                <w:b/>
                <w:spacing w:val="-4"/>
                <w:lang w:val="ru-RU"/>
              </w:rPr>
            </w:pPr>
            <w:r w:rsidRPr="005F36B9">
              <w:rPr>
                <w:spacing w:val="-4"/>
                <w:lang w:val="kk-KZ"/>
              </w:rPr>
              <w:t>(0.55, 0.74)</w:t>
            </w:r>
          </w:p>
        </w:tc>
      </w:tr>
    </w:tbl>
    <w:p w:rsidR="0050122F" w:rsidRPr="005F36B9" w:rsidRDefault="0050122F" w:rsidP="0050122F">
      <w:pPr>
        <w:pStyle w:val="ac"/>
        <w:spacing w:before="0" w:beforeAutospacing="0" w:after="0" w:afterAutospacing="0"/>
        <w:jc w:val="both"/>
        <w:rPr>
          <w:spacing w:val="-4"/>
          <w:lang w:val="ru-RU"/>
        </w:rPr>
      </w:pPr>
      <w:r w:rsidRPr="005F36B9">
        <w:rPr>
          <w:spacing w:val="-4"/>
          <w:lang w:val="kk-KZ"/>
        </w:rPr>
        <w:t>А: доксорубицин; С: циклофосфамид; Р: паклитаксел; Н: трастузумаб</w:t>
      </w:r>
    </w:p>
    <w:p w:rsidR="0050122F" w:rsidRPr="005F36B9" w:rsidRDefault="0050122F" w:rsidP="0050122F">
      <w:pPr>
        <w:pStyle w:val="ac"/>
        <w:spacing w:before="0" w:beforeAutospacing="0" w:after="0" w:afterAutospacing="0"/>
        <w:jc w:val="both"/>
        <w:rPr>
          <w:spacing w:val="-4"/>
          <w:lang w:val="ru-RU"/>
        </w:rPr>
      </w:pPr>
    </w:p>
    <w:p w:rsidR="0050122F" w:rsidRPr="005F36B9" w:rsidRDefault="0050122F" w:rsidP="0050122F">
      <w:pPr>
        <w:pStyle w:val="ac"/>
        <w:spacing w:before="0" w:beforeAutospacing="0" w:after="0" w:afterAutospacing="0"/>
        <w:jc w:val="both"/>
        <w:rPr>
          <w:rFonts w:ascii="Arial" w:hAnsi="Arial" w:cs="Arial"/>
          <w:spacing w:val="-4"/>
          <w:lang w:val="kk-KZ"/>
        </w:rPr>
      </w:pPr>
      <w:r w:rsidRPr="005F36B9">
        <w:rPr>
          <w:spacing w:val="-4"/>
          <w:lang w:val="kk-KZ"/>
        </w:rPr>
        <w:t xml:space="preserve">DFS талдауы сонымен қатар NSABP В-31 және NCCTG N9831 бірлескен зерттеулерінің нәтижелері бойынша OS қорытынды талдауында жүргізілді. DFS талдауының жаңартылған нәтижелері (стратификацияланған ҚҚ=0.61; 95% СА [0.54, 0.69]) AC→P тобындағы пациенттердің 24.8%-ы </w:t>
      </w:r>
      <w:r w:rsidR="007D549E" w:rsidRPr="005F36B9">
        <w:rPr>
          <w:spacing w:val="-4"/>
          <w:lang w:val="kk-KZ"/>
        </w:rPr>
        <w:t xml:space="preserve">трастузумабпен </w:t>
      </w:r>
      <w:r w:rsidRPr="005F36B9">
        <w:rPr>
          <w:spacing w:val="-4"/>
          <w:lang w:val="kk-KZ"/>
        </w:rPr>
        <w:t>емдеу тобына ауысқанына қарамастан DFS ақырғы бастапқы талдауында DFS көрсеткіші бойынша ұқсас артықшылықты көрсетті. 8 жасқа қарай DFS жиілігі АС→PH тобындағы 77.2%-ды (95% СА: 75.4, 79.1) құрады, бұл АС→Р тобымен салыстырғанда 11.8% абсолютті артықшылығы бар.</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 xml:space="preserve">BCIRG 006 зерттеуінде </w:t>
      </w:r>
      <w:r w:rsidR="007D549E" w:rsidRPr="005F36B9">
        <w:rPr>
          <w:spacing w:val="-4"/>
          <w:lang w:val="kk-KZ"/>
        </w:rPr>
        <w:t xml:space="preserve">трастузумабты </w:t>
      </w:r>
      <w:r w:rsidRPr="005F36B9">
        <w:rPr>
          <w:spacing w:val="-4"/>
          <w:lang w:val="kk-KZ"/>
        </w:rPr>
        <w:t>АС (АС→DH) схемасы бойынша химиотерапиядан кейін доцетакселмен біріктіріп немесе доцетакселмен және карбоплатинмен (DCarbH) біріктіріп тағайындады.</w:t>
      </w:r>
    </w:p>
    <w:p w:rsidR="0050122F" w:rsidRPr="005F36B9" w:rsidRDefault="0050122F" w:rsidP="0050122F">
      <w:pPr>
        <w:pStyle w:val="ac"/>
        <w:spacing w:before="0" w:beforeAutospacing="0" w:after="0" w:afterAutospacing="0"/>
        <w:jc w:val="both"/>
        <w:rPr>
          <w:spacing w:val="-4"/>
          <w:lang w:val="ru-RU"/>
        </w:rPr>
      </w:pPr>
      <w:r w:rsidRPr="005F36B9">
        <w:rPr>
          <w:spacing w:val="-4"/>
          <w:lang w:val="kk-KZ"/>
        </w:rPr>
        <w:t>Доцетаксел келесідей қолданылды:</w:t>
      </w:r>
    </w:p>
    <w:p w:rsidR="0050122F" w:rsidRPr="005F36B9" w:rsidRDefault="0050122F" w:rsidP="0050122F">
      <w:pPr>
        <w:pStyle w:val="ac"/>
        <w:numPr>
          <w:ilvl w:val="0"/>
          <w:numId w:val="6"/>
        </w:numPr>
        <w:spacing w:before="0" w:beforeAutospacing="0" w:after="0" w:afterAutospacing="0"/>
        <w:jc w:val="both"/>
        <w:rPr>
          <w:spacing w:val="-4"/>
          <w:lang w:val="ru-RU"/>
        </w:rPr>
      </w:pPr>
      <w:r w:rsidRPr="005F36B9">
        <w:rPr>
          <w:spacing w:val="-4"/>
          <w:lang w:val="kk-KZ"/>
        </w:rPr>
        <w:t>доцетаксел 100 мг/м</w:t>
      </w:r>
      <w:r w:rsidRPr="005F36B9">
        <w:rPr>
          <w:spacing w:val="-4"/>
          <w:vertAlign w:val="superscript"/>
          <w:lang w:val="kk-KZ"/>
        </w:rPr>
        <w:t>2</w:t>
      </w:r>
      <w:r w:rsidRPr="005F36B9">
        <w:rPr>
          <w:spacing w:val="-4"/>
          <w:lang w:val="kk-KZ"/>
        </w:rPr>
        <w:t xml:space="preserve"> дозада вена ішіне инфузия түрінде емдеудің 4 циклі бойына әрбір 3 апта сайын 1 сағат бойы (доцетакселмен емдеудің бірінші циклінің 2-ші күні, содан кейін әрбір келесі циклдің 1-күні)</w:t>
      </w:r>
    </w:p>
    <w:p w:rsidR="0050122F" w:rsidRPr="005F36B9" w:rsidRDefault="0050122F" w:rsidP="0050122F">
      <w:pPr>
        <w:pStyle w:val="ac"/>
        <w:spacing w:before="0" w:beforeAutospacing="0" w:after="0" w:afterAutospacing="0"/>
        <w:jc w:val="both"/>
        <w:rPr>
          <w:spacing w:val="-4"/>
          <w:lang w:val="ru-RU"/>
        </w:rPr>
      </w:pPr>
      <w:r w:rsidRPr="005F36B9">
        <w:rPr>
          <w:spacing w:val="-4"/>
          <w:lang w:val="kk-KZ"/>
        </w:rPr>
        <w:t>немесе</w:t>
      </w:r>
    </w:p>
    <w:p w:rsidR="0050122F" w:rsidRPr="005F36B9" w:rsidRDefault="0050122F" w:rsidP="0050122F">
      <w:pPr>
        <w:pStyle w:val="ac"/>
        <w:numPr>
          <w:ilvl w:val="0"/>
          <w:numId w:val="6"/>
        </w:numPr>
        <w:spacing w:before="0" w:beforeAutospacing="0" w:after="0" w:afterAutospacing="0"/>
        <w:jc w:val="both"/>
        <w:rPr>
          <w:spacing w:val="-4"/>
          <w:lang w:val="ru-RU"/>
        </w:rPr>
      </w:pPr>
      <w:r w:rsidRPr="005F36B9">
        <w:rPr>
          <w:spacing w:val="-4"/>
          <w:lang w:val="kk-KZ"/>
        </w:rPr>
        <w:t>доцетаксел 75 мг/м</w:t>
      </w:r>
      <w:r w:rsidRPr="005F36B9">
        <w:rPr>
          <w:spacing w:val="-4"/>
          <w:vertAlign w:val="superscript"/>
          <w:lang w:val="kk-KZ"/>
        </w:rPr>
        <w:t>2</w:t>
      </w:r>
      <w:r w:rsidRPr="005F36B9">
        <w:rPr>
          <w:spacing w:val="-4"/>
          <w:lang w:val="kk-KZ"/>
        </w:rPr>
        <w:t xml:space="preserve"> дозада вена ішіне инфузия түрінде емдеудің 6 циклі бойына әрбір 3 апта сайын 1 сағат бойы (1 циклдің 2-ші күні, содан кейін әрбір келесі циклдің 1-ші күні)</w:t>
      </w:r>
    </w:p>
    <w:p w:rsidR="0050122F" w:rsidRPr="005F36B9" w:rsidRDefault="0050122F" w:rsidP="0050122F">
      <w:pPr>
        <w:pStyle w:val="ac"/>
        <w:spacing w:before="0" w:beforeAutospacing="0" w:after="0" w:afterAutospacing="0"/>
        <w:jc w:val="both"/>
        <w:rPr>
          <w:spacing w:val="-4"/>
          <w:lang w:val="ru-RU"/>
        </w:rPr>
      </w:pPr>
      <w:r w:rsidRPr="005F36B9">
        <w:rPr>
          <w:spacing w:val="-4"/>
          <w:lang w:val="kk-KZ"/>
        </w:rPr>
        <w:t xml:space="preserve">содан кейін мынадай: </w:t>
      </w:r>
    </w:p>
    <w:p w:rsidR="0050122F" w:rsidRPr="005F36B9" w:rsidRDefault="0050122F" w:rsidP="0050122F">
      <w:pPr>
        <w:pStyle w:val="ac"/>
        <w:numPr>
          <w:ilvl w:val="0"/>
          <w:numId w:val="6"/>
        </w:numPr>
        <w:spacing w:before="0" w:beforeAutospacing="0" w:after="0" w:afterAutospacing="0"/>
        <w:jc w:val="both"/>
        <w:rPr>
          <w:spacing w:val="-4"/>
          <w:lang w:val="ru-RU"/>
        </w:rPr>
      </w:pPr>
      <w:r w:rsidRPr="005F36B9">
        <w:rPr>
          <w:spacing w:val="-4"/>
          <w:lang w:val="kk-KZ"/>
        </w:rPr>
        <w:t>карбоплатинді мақсатты AUC=6 мг/мл/мин жету үшін дозада қолдану, оны жалпы алғанда 6 цикл бойы әр 3 апта сайын 30-60 мин ішінде вена ішіне инфузия түрінде енгізген.</w:t>
      </w:r>
    </w:p>
    <w:p w:rsidR="0050122F" w:rsidRPr="005F36B9" w:rsidRDefault="00BC55C6" w:rsidP="0050122F">
      <w:pPr>
        <w:pStyle w:val="ac"/>
        <w:spacing w:before="0" w:beforeAutospacing="0" w:after="0" w:afterAutospacing="0"/>
        <w:jc w:val="both"/>
        <w:rPr>
          <w:spacing w:val="-4"/>
          <w:lang w:val="ru-RU"/>
        </w:rPr>
      </w:pPr>
      <w:r w:rsidRPr="005F36B9">
        <w:rPr>
          <w:spacing w:val="-4"/>
          <w:lang w:val="kk-KZ"/>
        </w:rPr>
        <w:t xml:space="preserve">Трастузумаб </w:t>
      </w:r>
      <w:r w:rsidR="0050122F" w:rsidRPr="005F36B9">
        <w:rPr>
          <w:spacing w:val="-4"/>
          <w:lang w:val="kk-KZ"/>
        </w:rPr>
        <w:t>аптасына бір рет химиотерапиямен, содан кейін әр 3 апта сайын, жалпы 52 апта бойы тағайындалды.</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BCIRG 006 зерттеу барысында алынған тиімділік нәтижелері 8 және 9 кестелерде жинақталған. Кейінгі бақылау ұзақтығының медианасы АС→D тобында 2.9 жылды, ал АС→DH және DCarbH топтарында - 3.0 жылды құрады.</w:t>
      </w:r>
    </w:p>
    <w:p w:rsidR="0050122F" w:rsidRPr="005F36B9" w:rsidRDefault="0050122F" w:rsidP="0050122F">
      <w:pPr>
        <w:pStyle w:val="ac"/>
        <w:spacing w:before="0" w:beforeAutospacing="0" w:after="0" w:afterAutospacing="0"/>
        <w:jc w:val="both"/>
        <w:rPr>
          <w:spacing w:val="-4"/>
          <w:lang w:val="kk-KZ"/>
        </w:rPr>
      </w:pPr>
    </w:p>
    <w:p w:rsidR="0050122F" w:rsidRPr="005F36B9" w:rsidRDefault="008911FB" w:rsidP="0050122F">
      <w:pPr>
        <w:pStyle w:val="ac"/>
        <w:spacing w:before="0" w:beforeAutospacing="0" w:after="0" w:afterAutospacing="0"/>
        <w:jc w:val="both"/>
        <w:rPr>
          <w:b/>
          <w:spacing w:val="-4"/>
          <w:lang w:val="kk-KZ"/>
        </w:rPr>
      </w:pPr>
      <w:r w:rsidRPr="005F36B9">
        <w:rPr>
          <w:b/>
          <w:spacing w:val="-4"/>
          <w:lang w:val="kk-KZ"/>
        </w:rPr>
        <w:t xml:space="preserve">8 </w:t>
      </w:r>
      <w:r w:rsidR="0050122F" w:rsidRPr="005F36B9">
        <w:rPr>
          <w:b/>
          <w:spacing w:val="-4"/>
          <w:lang w:val="kk-KZ"/>
        </w:rPr>
        <w:t>кесте. BCIRG 006 зерттеу нәтижелері бойынша тиімділікті талдау, AC→DH схемасымен салыстырғанда AC→D схемасы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259"/>
        <w:gridCol w:w="2259"/>
        <w:gridCol w:w="2403"/>
      </w:tblGrid>
      <w:tr w:rsidR="0050122F" w:rsidRPr="005F36B9" w:rsidTr="0050122F">
        <w:tc>
          <w:tcPr>
            <w:tcW w:w="2151" w:type="dxa"/>
            <w:shd w:val="clear" w:color="auto" w:fill="auto"/>
          </w:tcPr>
          <w:p w:rsidR="0050122F" w:rsidRPr="005F36B9" w:rsidRDefault="0050122F" w:rsidP="0050122F">
            <w:pPr>
              <w:ind w:right="-20"/>
              <w:jc w:val="center"/>
              <w:rPr>
                <w:spacing w:val="-4"/>
                <w:lang w:val="ru-RU"/>
              </w:rPr>
            </w:pPr>
            <w:r w:rsidRPr="005F36B9">
              <w:rPr>
                <w:spacing w:val="-4"/>
                <w:lang w:val="kk-KZ"/>
              </w:rPr>
              <w:t>Параметр</w:t>
            </w:r>
          </w:p>
        </w:tc>
        <w:tc>
          <w:tcPr>
            <w:tcW w:w="2259"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АС→D</w:t>
            </w:r>
          </w:p>
          <w:p w:rsidR="0050122F" w:rsidRPr="005F36B9" w:rsidRDefault="0050122F" w:rsidP="0050122F">
            <w:pPr>
              <w:ind w:right="-20"/>
              <w:jc w:val="center"/>
              <w:rPr>
                <w:spacing w:val="-4"/>
                <w:lang w:val="ru-RU"/>
              </w:rPr>
            </w:pPr>
            <w:r w:rsidRPr="005F36B9">
              <w:rPr>
                <w:spacing w:val="-4"/>
                <w:lang w:val="kk-KZ"/>
              </w:rPr>
              <w:t>(n=1073)</w:t>
            </w:r>
          </w:p>
        </w:tc>
        <w:tc>
          <w:tcPr>
            <w:tcW w:w="2259"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АС→DH</w:t>
            </w:r>
          </w:p>
          <w:p w:rsidR="0050122F" w:rsidRPr="005F36B9" w:rsidRDefault="0050122F" w:rsidP="0050122F">
            <w:pPr>
              <w:ind w:right="-20"/>
              <w:jc w:val="center"/>
              <w:rPr>
                <w:spacing w:val="-4"/>
                <w:lang w:val="ru-RU"/>
              </w:rPr>
            </w:pPr>
            <w:r w:rsidRPr="005F36B9">
              <w:rPr>
                <w:spacing w:val="-4"/>
                <w:lang w:val="kk-KZ"/>
              </w:rPr>
              <w:t>(n=1074)</w:t>
            </w:r>
          </w:p>
        </w:tc>
        <w:tc>
          <w:tcPr>
            <w:tcW w:w="2403"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АС→D-мен салыстырғанда қауіптер қатынасы</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(95% СА)</w:t>
            </w:r>
          </w:p>
          <w:p w:rsidR="0050122F" w:rsidRPr="005F36B9" w:rsidRDefault="0050122F" w:rsidP="0050122F">
            <w:pPr>
              <w:ind w:right="-20"/>
              <w:jc w:val="center"/>
              <w:rPr>
                <w:spacing w:val="-4"/>
                <w:lang w:val="ru-RU"/>
              </w:rPr>
            </w:pPr>
            <w:r w:rsidRPr="005F36B9">
              <w:rPr>
                <w:spacing w:val="-4"/>
                <w:lang w:val="kk-KZ"/>
              </w:rPr>
              <w:t>р-мәні</w:t>
            </w:r>
          </w:p>
        </w:tc>
      </w:tr>
      <w:tr w:rsidR="0050122F" w:rsidRPr="005F36B9" w:rsidTr="0050122F">
        <w:tc>
          <w:tcPr>
            <w:tcW w:w="2151" w:type="dxa"/>
            <w:shd w:val="clear" w:color="auto" w:fill="auto"/>
          </w:tcPr>
          <w:p w:rsidR="0050122F" w:rsidRPr="005F36B9" w:rsidRDefault="0050122F" w:rsidP="0050122F">
            <w:pPr>
              <w:pStyle w:val="ac"/>
              <w:spacing w:before="0" w:beforeAutospacing="0" w:after="0" w:afterAutospacing="0"/>
              <w:rPr>
                <w:spacing w:val="-4"/>
              </w:rPr>
            </w:pPr>
            <w:r w:rsidRPr="005F36B9">
              <w:rPr>
                <w:spacing w:val="-4"/>
                <w:lang w:val="kk-KZ"/>
              </w:rPr>
              <w:t>Ауру белгілері жоқ өміршеңдік</w:t>
            </w:r>
          </w:p>
          <w:p w:rsidR="0050122F" w:rsidRPr="005F36B9" w:rsidRDefault="0050122F" w:rsidP="0050122F">
            <w:pPr>
              <w:ind w:right="-20"/>
              <w:rPr>
                <w:spacing w:val="-4"/>
              </w:rPr>
            </w:pPr>
            <w:r w:rsidRPr="005F36B9">
              <w:rPr>
                <w:spacing w:val="-4"/>
                <w:lang w:val="kk-KZ"/>
              </w:rPr>
              <w:t>Оқиғасымен пациенттер саны</w:t>
            </w:r>
          </w:p>
        </w:tc>
        <w:tc>
          <w:tcPr>
            <w:tcW w:w="2259" w:type="dxa"/>
            <w:shd w:val="clear" w:color="auto" w:fill="auto"/>
          </w:tcPr>
          <w:p w:rsidR="0050122F" w:rsidRPr="005F36B9" w:rsidRDefault="0050122F" w:rsidP="0050122F">
            <w:pPr>
              <w:ind w:right="-20"/>
              <w:jc w:val="center"/>
              <w:rPr>
                <w:spacing w:val="-4"/>
              </w:rPr>
            </w:pPr>
          </w:p>
          <w:p w:rsidR="0050122F" w:rsidRPr="005F36B9" w:rsidRDefault="0050122F" w:rsidP="0050122F">
            <w:pPr>
              <w:ind w:right="-20"/>
              <w:jc w:val="center"/>
              <w:rPr>
                <w:spacing w:val="-4"/>
              </w:rPr>
            </w:pPr>
          </w:p>
          <w:p w:rsidR="0050122F" w:rsidRPr="005F36B9" w:rsidRDefault="0050122F" w:rsidP="0050122F">
            <w:pPr>
              <w:ind w:right="-20"/>
              <w:jc w:val="center"/>
              <w:rPr>
                <w:spacing w:val="-4"/>
                <w:lang w:val="ru-RU"/>
              </w:rPr>
            </w:pPr>
            <w:r w:rsidRPr="005F36B9">
              <w:rPr>
                <w:spacing w:val="-4"/>
                <w:lang w:val="kk-KZ"/>
              </w:rPr>
              <w:t>195</w:t>
            </w:r>
          </w:p>
        </w:tc>
        <w:tc>
          <w:tcPr>
            <w:tcW w:w="2259" w:type="dxa"/>
            <w:shd w:val="clear" w:color="auto" w:fill="auto"/>
          </w:tcPr>
          <w:p w:rsidR="0050122F" w:rsidRPr="005F36B9" w:rsidRDefault="0050122F" w:rsidP="0050122F">
            <w:pPr>
              <w:ind w:right="-20"/>
              <w:jc w:val="center"/>
              <w:rPr>
                <w:spacing w:val="-4"/>
                <w:lang w:val="ru-RU"/>
              </w:rPr>
            </w:pPr>
          </w:p>
          <w:p w:rsidR="0050122F" w:rsidRPr="005F36B9" w:rsidRDefault="0050122F" w:rsidP="0050122F">
            <w:pPr>
              <w:ind w:right="-20"/>
              <w:jc w:val="center"/>
              <w:rPr>
                <w:spacing w:val="-4"/>
                <w:lang w:val="ru-RU"/>
              </w:rPr>
            </w:pPr>
          </w:p>
          <w:p w:rsidR="0050122F" w:rsidRPr="005F36B9" w:rsidRDefault="0050122F" w:rsidP="0050122F">
            <w:pPr>
              <w:ind w:right="-20"/>
              <w:jc w:val="center"/>
              <w:rPr>
                <w:spacing w:val="-4"/>
                <w:lang w:val="ru-RU"/>
              </w:rPr>
            </w:pPr>
            <w:r w:rsidRPr="005F36B9">
              <w:rPr>
                <w:spacing w:val="-4"/>
                <w:lang w:val="kk-KZ"/>
              </w:rPr>
              <w:t>134</w:t>
            </w:r>
          </w:p>
        </w:tc>
        <w:tc>
          <w:tcPr>
            <w:tcW w:w="2403" w:type="dxa"/>
            <w:shd w:val="clear" w:color="auto" w:fill="auto"/>
          </w:tcPr>
          <w:p w:rsidR="0050122F" w:rsidRPr="005F36B9" w:rsidRDefault="0050122F" w:rsidP="0050122F">
            <w:pPr>
              <w:pStyle w:val="Default"/>
              <w:jc w:val="center"/>
              <w:rPr>
                <w:color w:val="auto"/>
                <w:spacing w:val="-4"/>
              </w:rPr>
            </w:pPr>
          </w:p>
          <w:p w:rsidR="0050122F" w:rsidRPr="005F36B9" w:rsidRDefault="0050122F" w:rsidP="0050122F">
            <w:pPr>
              <w:pStyle w:val="Default"/>
              <w:jc w:val="center"/>
              <w:rPr>
                <w:color w:val="auto"/>
                <w:spacing w:val="-4"/>
              </w:rPr>
            </w:pPr>
          </w:p>
          <w:p w:rsidR="0050122F" w:rsidRPr="005F36B9" w:rsidRDefault="0050122F" w:rsidP="0050122F">
            <w:pPr>
              <w:pStyle w:val="Default"/>
              <w:jc w:val="center"/>
              <w:rPr>
                <w:color w:val="auto"/>
                <w:spacing w:val="-4"/>
              </w:rPr>
            </w:pPr>
            <w:r w:rsidRPr="005F36B9">
              <w:rPr>
                <w:color w:val="auto"/>
                <w:spacing w:val="-4"/>
                <w:lang w:val="kk-KZ"/>
              </w:rPr>
              <w:t>0.61 (0.49, 0.77)</w:t>
            </w:r>
          </w:p>
          <w:p w:rsidR="0050122F" w:rsidRPr="005F36B9" w:rsidRDefault="0050122F" w:rsidP="0050122F">
            <w:pPr>
              <w:ind w:right="-20"/>
              <w:jc w:val="center"/>
              <w:rPr>
                <w:spacing w:val="-4"/>
                <w:lang w:val="ru-RU"/>
              </w:rPr>
            </w:pPr>
            <w:r w:rsidRPr="005F36B9">
              <w:rPr>
                <w:spacing w:val="-4"/>
                <w:lang w:val="kk-KZ"/>
              </w:rPr>
              <w:t>p&lt;0.0001</w:t>
            </w:r>
          </w:p>
        </w:tc>
      </w:tr>
      <w:tr w:rsidR="0050122F" w:rsidRPr="005F36B9" w:rsidTr="0050122F">
        <w:tc>
          <w:tcPr>
            <w:tcW w:w="2151" w:type="dxa"/>
            <w:tcBorders>
              <w:bottom w:val="single" w:sz="4" w:space="0" w:color="auto"/>
            </w:tcBorders>
            <w:shd w:val="clear" w:color="auto" w:fill="auto"/>
          </w:tcPr>
          <w:p w:rsidR="0050122F" w:rsidRPr="005F36B9" w:rsidRDefault="0050122F" w:rsidP="0050122F">
            <w:pPr>
              <w:pStyle w:val="ac"/>
              <w:spacing w:before="0" w:beforeAutospacing="0" w:after="0" w:afterAutospacing="0"/>
              <w:rPr>
                <w:spacing w:val="-4"/>
              </w:rPr>
            </w:pPr>
            <w:r w:rsidRPr="005F36B9">
              <w:rPr>
                <w:spacing w:val="-4"/>
                <w:lang w:val="kk-KZ"/>
              </w:rPr>
              <w:t>Кейіннен қайталану</w:t>
            </w:r>
          </w:p>
          <w:p w:rsidR="0050122F" w:rsidRPr="005F36B9" w:rsidRDefault="0050122F" w:rsidP="0050122F">
            <w:pPr>
              <w:ind w:right="-20"/>
              <w:rPr>
                <w:spacing w:val="-4"/>
              </w:rPr>
            </w:pPr>
            <w:r w:rsidRPr="005F36B9">
              <w:rPr>
                <w:spacing w:val="-4"/>
                <w:lang w:val="kk-KZ"/>
              </w:rPr>
              <w:t>Оқиғасымен пациенттер саны</w:t>
            </w:r>
          </w:p>
        </w:tc>
        <w:tc>
          <w:tcPr>
            <w:tcW w:w="2259" w:type="dxa"/>
            <w:tcBorders>
              <w:bottom w:val="single" w:sz="4" w:space="0" w:color="auto"/>
            </w:tcBorders>
            <w:shd w:val="clear" w:color="auto" w:fill="auto"/>
          </w:tcPr>
          <w:p w:rsidR="0050122F" w:rsidRPr="005F36B9" w:rsidRDefault="0050122F" w:rsidP="0050122F">
            <w:pPr>
              <w:ind w:right="-20"/>
              <w:jc w:val="center"/>
              <w:rPr>
                <w:spacing w:val="-4"/>
              </w:rPr>
            </w:pPr>
          </w:p>
          <w:p w:rsidR="0050122F" w:rsidRPr="005F36B9" w:rsidRDefault="0050122F" w:rsidP="0050122F">
            <w:pPr>
              <w:ind w:right="-20"/>
              <w:jc w:val="center"/>
              <w:rPr>
                <w:spacing w:val="-4"/>
                <w:lang w:val="ru-RU"/>
              </w:rPr>
            </w:pPr>
            <w:r w:rsidRPr="005F36B9">
              <w:rPr>
                <w:spacing w:val="-4"/>
                <w:lang w:val="kk-KZ"/>
              </w:rPr>
              <w:t>144</w:t>
            </w:r>
          </w:p>
        </w:tc>
        <w:tc>
          <w:tcPr>
            <w:tcW w:w="2259" w:type="dxa"/>
            <w:tcBorders>
              <w:bottom w:val="single" w:sz="4" w:space="0" w:color="auto"/>
            </w:tcBorders>
            <w:shd w:val="clear" w:color="auto" w:fill="auto"/>
          </w:tcPr>
          <w:p w:rsidR="0050122F" w:rsidRPr="005F36B9" w:rsidRDefault="0050122F" w:rsidP="0050122F">
            <w:pPr>
              <w:ind w:right="-20"/>
              <w:jc w:val="center"/>
              <w:rPr>
                <w:spacing w:val="-4"/>
                <w:lang w:val="ru-RU"/>
              </w:rPr>
            </w:pPr>
          </w:p>
          <w:p w:rsidR="0050122F" w:rsidRPr="005F36B9" w:rsidRDefault="0050122F" w:rsidP="0050122F">
            <w:pPr>
              <w:ind w:right="-20"/>
              <w:jc w:val="center"/>
              <w:rPr>
                <w:spacing w:val="-4"/>
                <w:lang w:val="ru-RU"/>
              </w:rPr>
            </w:pPr>
            <w:r w:rsidRPr="005F36B9">
              <w:rPr>
                <w:spacing w:val="-4"/>
                <w:lang w:val="kk-KZ"/>
              </w:rPr>
              <w:t xml:space="preserve">95 </w:t>
            </w:r>
          </w:p>
        </w:tc>
        <w:tc>
          <w:tcPr>
            <w:tcW w:w="2403" w:type="dxa"/>
            <w:tcBorders>
              <w:bottom w:val="single" w:sz="4" w:space="0" w:color="auto"/>
            </w:tcBorders>
            <w:shd w:val="clear" w:color="auto" w:fill="auto"/>
          </w:tcPr>
          <w:p w:rsidR="0050122F" w:rsidRPr="005F36B9" w:rsidRDefault="0050122F" w:rsidP="0050122F">
            <w:pPr>
              <w:pStyle w:val="Default"/>
              <w:jc w:val="center"/>
              <w:rPr>
                <w:color w:val="auto"/>
                <w:spacing w:val="-4"/>
              </w:rPr>
            </w:pPr>
          </w:p>
          <w:p w:rsidR="0050122F" w:rsidRPr="005F36B9" w:rsidRDefault="0050122F" w:rsidP="0050122F">
            <w:pPr>
              <w:pStyle w:val="Default"/>
              <w:jc w:val="center"/>
              <w:rPr>
                <w:color w:val="auto"/>
                <w:spacing w:val="-4"/>
              </w:rPr>
            </w:pPr>
            <w:r w:rsidRPr="005F36B9">
              <w:rPr>
                <w:color w:val="auto"/>
                <w:spacing w:val="-4"/>
                <w:lang w:val="kk-KZ"/>
              </w:rPr>
              <w:t xml:space="preserve">0.59 (0.46, 0.77) </w:t>
            </w:r>
          </w:p>
          <w:p w:rsidR="0050122F" w:rsidRPr="005F36B9" w:rsidRDefault="0050122F" w:rsidP="0050122F">
            <w:pPr>
              <w:ind w:right="-20"/>
              <w:jc w:val="center"/>
              <w:rPr>
                <w:spacing w:val="-4"/>
                <w:lang w:val="ru-RU"/>
              </w:rPr>
            </w:pPr>
            <w:r w:rsidRPr="005F36B9">
              <w:rPr>
                <w:spacing w:val="-4"/>
                <w:lang w:val="kk-KZ"/>
              </w:rPr>
              <w:t xml:space="preserve">p&lt;0.0001 </w:t>
            </w:r>
          </w:p>
        </w:tc>
      </w:tr>
      <w:tr w:rsidR="0050122F" w:rsidRPr="005F36B9" w:rsidTr="0050122F">
        <w:tc>
          <w:tcPr>
            <w:tcW w:w="2151" w:type="dxa"/>
            <w:tcBorders>
              <w:bottom w:val="single" w:sz="4" w:space="0" w:color="auto"/>
            </w:tcBorders>
            <w:shd w:val="clear" w:color="auto" w:fill="auto"/>
          </w:tcPr>
          <w:p w:rsidR="0050122F" w:rsidRPr="005F36B9" w:rsidRDefault="0050122F" w:rsidP="0050122F">
            <w:pPr>
              <w:pStyle w:val="ac"/>
              <w:spacing w:before="0" w:beforeAutospacing="0" w:after="0" w:afterAutospacing="0"/>
              <w:rPr>
                <w:spacing w:val="-4"/>
              </w:rPr>
            </w:pPr>
            <w:r w:rsidRPr="005F36B9">
              <w:rPr>
                <w:spacing w:val="-4"/>
                <w:lang w:val="kk-KZ"/>
              </w:rPr>
              <w:t xml:space="preserve">Өліммен аяқталған </w:t>
            </w:r>
            <w:r w:rsidRPr="005F36B9">
              <w:rPr>
                <w:spacing w:val="-4"/>
                <w:lang w:val="kk-KZ"/>
              </w:rPr>
              <w:lastRenderedPageBreak/>
              <w:t>жағдай (ОЅ)</w:t>
            </w:r>
          </w:p>
          <w:p w:rsidR="0050122F" w:rsidRPr="005F36B9" w:rsidRDefault="0050122F" w:rsidP="0050122F">
            <w:pPr>
              <w:ind w:right="-20"/>
              <w:rPr>
                <w:spacing w:val="-4"/>
              </w:rPr>
            </w:pPr>
            <w:r w:rsidRPr="005F36B9">
              <w:rPr>
                <w:spacing w:val="-4"/>
                <w:lang w:val="kk-KZ"/>
              </w:rPr>
              <w:t>Оқиғасымен пациенттер саны</w:t>
            </w:r>
          </w:p>
        </w:tc>
        <w:tc>
          <w:tcPr>
            <w:tcW w:w="2259" w:type="dxa"/>
            <w:tcBorders>
              <w:bottom w:val="single" w:sz="4" w:space="0" w:color="auto"/>
            </w:tcBorders>
            <w:shd w:val="clear" w:color="auto" w:fill="auto"/>
          </w:tcPr>
          <w:p w:rsidR="0050122F" w:rsidRPr="005F36B9" w:rsidRDefault="0050122F" w:rsidP="0050122F">
            <w:pPr>
              <w:ind w:right="-20"/>
              <w:jc w:val="center"/>
              <w:rPr>
                <w:spacing w:val="-4"/>
              </w:rPr>
            </w:pPr>
          </w:p>
          <w:p w:rsidR="0050122F" w:rsidRPr="005F36B9" w:rsidRDefault="0050122F" w:rsidP="0050122F">
            <w:pPr>
              <w:ind w:right="-20"/>
              <w:jc w:val="center"/>
              <w:rPr>
                <w:spacing w:val="-4"/>
              </w:rPr>
            </w:pPr>
          </w:p>
          <w:p w:rsidR="0050122F" w:rsidRPr="005F36B9" w:rsidRDefault="0050122F" w:rsidP="0050122F">
            <w:pPr>
              <w:ind w:right="-20"/>
              <w:jc w:val="center"/>
              <w:rPr>
                <w:spacing w:val="-4"/>
                <w:lang w:val="ru-RU"/>
              </w:rPr>
            </w:pPr>
            <w:r w:rsidRPr="005F36B9">
              <w:rPr>
                <w:spacing w:val="-4"/>
                <w:lang w:val="kk-KZ"/>
              </w:rPr>
              <w:t xml:space="preserve">80 </w:t>
            </w:r>
          </w:p>
        </w:tc>
        <w:tc>
          <w:tcPr>
            <w:tcW w:w="2259" w:type="dxa"/>
            <w:tcBorders>
              <w:bottom w:val="single" w:sz="4" w:space="0" w:color="auto"/>
            </w:tcBorders>
            <w:shd w:val="clear" w:color="auto" w:fill="auto"/>
          </w:tcPr>
          <w:p w:rsidR="0050122F" w:rsidRPr="005F36B9" w:rsidRDefault="0050122F" w:rsidP="0050122F">
            <w:pPr>
              <w:ind w:right="-20"/>
              <w:jc w:val="center"/>
              <w:rPr>
                <w:spacing w:val="-4"/>
                <w:lang w:val="ru-RU"/>
              </w:rPr>
            </w:pPr>
          </w:p>
          <w:p w:rsidR="0050122F" w:rsidRPr="005F36B9" w:rsidRDefault="0050122F" w:rsidP="0050122F">
            <w:pPr>
              <w:ind w:right="-20"/>
              <w:jc w:val="center"/>
              <w:rPr>
                <w:spacing w:val="-4"/>
                <w:lang w:val="ru-RU"/>
              </w:rPr>
            </w:pPr>
          </w:p>
          <w:p w:rsidR="0050122F" w:rsidRPr="005F36B9" w:rsidRDefault="0050122F" w:rsidP="0050122F">
            <w:pPr>
              <w:ind w:right="-20"/>
              <w:jc w:val="center"/>
              <w:rPr>
                <w:spacing w:val="-4"/>
                <w:lang w:val="ru-RU"/>
              </w:rPr>
            </w:pPr>
            <w:r w:rsidRPr="005F36B9">
              <w:rPr>
                <w:spacing w:val="-4"/>
                <w:lang w:val="kk-KZ"/>
              </w:rPr>
              <w:t xml:space="preserve">49 </w:t>
            </w:r>
          </w:p>
        </w:tc>
        <w:tc>
          <w:tcPr>
            <w:tcW w:w="2403" w:type="dxa"/>
            <w:tcBorders>
              <w:bottom w:val="single" w:sz="4" w:space="0" w:color="auto"/>
            </w:tcBorders>
            <w:shd w:val="clear" w:color="auto" w:fill="auto"/>
          </w:tcPr>
          <w:p w:rsidR="0050122F" w:rsidRPr="005F36B9" w:rsidRDefault="0050122F" w:rsidP="0050122F">
            <w:pPr>
              <w:pStyle w:val="Default"/>
              <w:jc w:val="center"/>
              <w:rPr>
                <w:color w:val="auto"/>
                <w:spacing w:val="-4"/>
              </w:rPr>
            </w:pPr>
          </w:p>
          <w:p w:rsidR="0050122F" w:rsidRPr="005F36B9" w:rsidRDefault="0050122F" w:rsidP="0050122F">
            <w:pPr>
              <w:pStyle w:val="Default"/>
              <w:jc w:val="center"/>
              <w:rPr>
                <w:color w:val="auto"/>
                <w:spacing w:val="-4"/>
              </w:rPr>
            </w:pPr>
          </w:p>
          <w:p w:rsidR="0050122F" w:rsidRPr="005F36B9" w:rsidRDefault="0050122F" w:rsidP="0050122F">
            <w:pPr>
              <w:pStyle w:val="Default"/>
              <w:jc w:val="center"/>
              <w:rPr>
                <w:color w:val="auto"/>
                <w:spacing w:val="-4"/>
              </w:rPr>
            </w:pPr>
            <w:r w:rsidRPr="005F36B9">
              <w:rPr>
                <w:color w:val="auto"/>
                <w:spacing w:val="-4"/>
                <w:lang w:val="kk-KZ"/>
              </w:rPr>
              <w:t xml:space="preserve">0.58 (0.40, 0.83) </w:t>
            </w:r>
          </w:p>
          <w:p w:rsidR="0050122F" w:rsidRPr="005F36B9" w:rsidRDefault="0050122F" w:rsidP="0050122F">
            <w:pPr>
              <w:ind w:right="-20"/>
              <w:jc w:val="center"/>
              <w:rPr>
                <w:spacing w:val="-4"/>
                <w:lang w:val="ru-RU"/>
              </w:rPr>
            </w:pPr>
            <w:r w:rsidRPr="005F36B9">
              <w:rPr>
                <w:spacing w:val="-4"/>
                <w:lang w:val="kk-KZ"/>
              </w:rPr>
              <w:t xml:space="preserve">p=0.0024 </w:t>
            </w:r>
          </w:p>
        </w:tc>
      </w:tr>
    </w:tbl>
    <w:p w:rsidR="0050122F" w:rsidRPr="005F36B9" w:rsidRDefault="0050122F" w:rsidP="0050122F">
      <w:pPr>
        <w:pStyle w:val="ac"/>
        <w:spacing w:before="0" w:beforeAutospacing="0" w:after="0" w:afterAutospacing="0"/>
        <w:jc w:val="both"/>
        <w:rPr>
          <w:spacing w:val="-4"/>
        </w:rPr>
      </w:pPr>
      <w:r w:rsidRPr="005F36B9">
        <w:rPr>
          <w:spacing w:val="-4"/>
          <w:lang w:val="kk-KZ"/>
        </w:rPr>
        <w:lastRenderedPageBreak/>
        <w:t>AC→D = доксорубицин плюс циклофосфамид, содан кейін – доцетаксел; AC→DH = доксорубицин плюс циклофосфамид, содан кейін - доцетаксел плюс трастузумаб; СА= сенімді аралық.</w:t>
      </w:r>
    </w:p>
    <w:p w:rsidR="0050122F" w:rsidRPr="005F36B9" w:rsidRDefault="0050122F" w:rsidP="0050122F">
      <w:pPr>
        <w:pStyle w:val="ac"/>
        <w:spacing w:before="0" w:beforeAutospacing="0" w:after="0" w:afterAutospacing="0"/>
        <w:jc w:val="both"/>
        <w:rPr>
          <w:b/>
          <w:spacing w:val="-4"/>
        </w:rPr>
      </w:pPr>
    </w:p>
    <w:p w:rsidR="0050122F" w:rsidRPr="005F36B9" w:rsidRDefault="008911FB" w:rsidP="0050122F">
      <w:pPr>
        <w:pStyle w:val="ac"/>
        <w:spacing w:before="0" w:beforeAutospacing="0" w:after="0" w:afterAutospacing="0"/>
        <w:jc w:val="both"/>
        <w:rPr>
          <w:b/>
          <w:spacing w:val="-4"/>
          <w:lang w:val="kk-KZ"/>
        </w:rPr>
      </w:pPr>
      <w:r w:rsidRPr="005F36B9">
        <w:rPr>
          <w:b/>
          <w:spacing w:val="-4"/>
          <w:lang w:val="kk-KZ"/>
        </w:rPr>
        <w:t xml:space="preserve">9 </w:t>
      </w:r>
      <w:r w:rsidR="0050122F" w:rsidRPr="005F36B9">
        <w:rPr>
          <w:b/>
          <w:spacing w:val="-4"/>
          <w:lang w:val="kk-KZ"/>
        </w:rPr>
        <w:t>кесте. BCIRG 006 зерттеу нәтижелері бойынша тиімділікті талдау, DCarbH схемасымен салыстырғанда AC→D схемасы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259"/>
        <w:gridCol w:w="2259"/>
        <w:gridCol w:w="2403"/>
      </w:tblGrid>
      <w:tr w:rsidR="0050122F" w:rsidRPr="005F36B9" w:rsidTr="0050122F">
        <w:tc>
          <w:tcPr>
            <w:tcW w:w="2151" w:type="dxa"/>
            <w:shd w:val="clear" w:color="auto" w:fill="auto"/>
          </w:tcPr>
          <w:p w:rsidR="0050122F" w:rsidRPr="005F36B9" w:rsidRDefault="0050122F" w:rsidP="0050122F">
            <w:pPr>
              <w:ind w:right="-20"/>
              <w:jc w:val="center"/>
              <w:rPr>
                <w:spacing w:val="-4"/>
                <w:lang w:val="ru-RU"/>
              </w:rPr>
            </w:pPr>
            <w:r w:rsidRPr="005F36B9">
              <w:rPr>
                <w:spacing w:val="-4"/>
                <w:lang w:val="kk-KZ"/>
              </w:rPr>
              <w:t>Параметр</w:t>
            </w:r>
          </w:p>
        </w:tc>
        <w:tc>
          <w:tcPr>
            <w:tcW w:w="2259"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АС→D</w:t>
            </w:r>
          </w:p>
          <w:p w:rsidR="0050122F" w:rsidRPr="005F36B9" w:rsidRDefault="0050122F" w:rsidP="0050122F">
            <w:pPr>
              <w:ind w:right="-20"/>
              <w:jc w:val="center"/>
              <w:rPr>
                <w:spacing w:val="-4"/>
                <w:lang w:val="ru-RU"/>
              </w:rPr>
            </w:pPr>
            <w:r w:rsidRPr="005F36B9">
              <w:rPr>
                <w:spacing w:val="-4"/>
                <w:lang w:val="kk-KZ"/>
              </w:rPr>
              <w:t>(n=1073)</w:t>
            </w:r>
          </w:p>
        </w:tc>
        <w:tc>
          <w:tcPr>
            <w:tcW w:w="2259" w:type="dxa"/>
            <w:shd w:val="clear" w:color="auto" w:fill="auto"/>
          </w:tcPr>
          <w:p w:rsidR="0050122F" w:rsidRPr="005F36B9" w:rsidRDefault="0050122F" w:rsidP="0050122F">
            <w:pPr>
              <w:ind w:right="-20"/>
              <w:jc w:val="center"/>
              <w:rPr>
                <w:spacing w:val="-4"/>
                <w:lang w:val="ru-RU"/>
              </w:rPr>
            </w:pPr>
            <w:r w:rsidRPr="005F36B9">
              <w:rPr>
                <w:spacing w:val="-4"/>
                <w:lang w:val="kk-KZ"/>
              </w:rPr>
              <w:t xml:space="preserve">DCarbH </w:t>
            </w:r>
          </w:p>
          <w:p w:rsidR="0050122F" w:rsidRPr="005F36B9" w:rsidRDefault="0050122F" w:rsidP="0050122F">
            <w:pPr>
              <w:ind w:right="-20"/>
              <w:jc w:val="center"/>
              <w:rPr>
                <w:spacing w:val="-4"/>
                <w:lang w:val="ru-RU"/>
              </w:rPr>
            </w:pPr>
            <w:r w:rsidRPr="005F36B9">
              <w:rPr>
                <w:spacing w:val="-4"/>
                <w:lang w:val="kk-KZ"/>
              </w:rPr>
              <w:t>(n=1074)</w:t>
            </w:r>
          </w:p>
        </w:tc>
        <w:tc>
          <w:tcPr>
            <w:tcW w:w="2403"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АС→D-мен салыстырғанда қауіптер қатынасы</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(95% СА)</w:t>
            </w:r>
          </w:p>
        </w:tc>
      </w:tr>
      <w:tr w:rsidR="0050122F" w:rsidRPr="005F36B9" w:rsidTr="0050122F">
        <w:tc>
          <w:tcPr>
            <w:tcW w:w="2151" w:type="dxa"/>
            <w:shd w:val="clear" w:color="auto" w:fill="auto"/>
          </w:tcPr>
          <w:p w:rsidR="0050122F" w:rsidRPr="005F36B9" w:rsidRDefault="0050122F" w:rsidP="0050122F">
            <w:pPr>
              <w:pStyle w:val="ac"/>
              <w:spacing w:before="0" w:beforeAutospacing="0" w:after="0" w:afterAutospacing="0"/>
              <w:rPr>
                <w:spacing w:val="-4"/>
              </w:rPr>
            </w:pPr>
            <w:r w:rsidRPr="005F36B9">
              <w:rPr>
                <w:spacing w:val="-4"/>
                <w:lang w:val="kk-KZ"/>
              </w:rPr>
              <w:t>Ауру белгілері жоқ өміршеңдік</w:t>
            </w:r>
          </w:p>
          <w:p w:rsidR="0050122F" w:rsidRPr="005F36B9" w:rsidRDefault="0050122F" w:rsidP="0050122F">
            <w:pPr>
              <w:ind w:right="-20"/>
              <w:rPr>
                <w:spacing w:val="-4"/>
              </w:rPr>
            </w:pPr>
            <w:r w:rsidRPr="005F36B9">
              <w:rPr>
                <w:spacing w:val="-4"/>
                <w:lang w:val="kk-KZ"/>
              </w:rPr>
              <w:t>Оқиғасымен пациенттер саны</w:t>
            </w:r>
          </w:p>
        </w:tc>
        <w:tc>
          <w:tcPr>
            <w:tcW w:w="2259" w:type="dxa"/>
            <w:shd w:val="clear" w:color="auto" w:fill="auto"/>
          </w:tcPr>
          <w:p w:rsidR="0050122F" w:rsidRPr="005F36B9" w:rsidRDefault="0050122F" w:rsidP="0050122F">
            <w:pPr>
              <w:ind w:right="-20"/>
              <w:jc w:val="center"/>
              <w:rPr>
                <w:spacing w:val="-4"/>
              </w:rPr>
            </w:pPr>
          </w:p>
          <w:p w:rsidR="0050122F" w:rsidRPr="005F36B9" w:rsidRDefault="0050122F" w:rsidP="0050122F">
            <w:pPr>
              <w:ind w:right="-20"/>
              <w:jc w:val="center"/>
              <w:rPr>
                <w:spacing w:val="-4"/>
              </w:rPr>
            </w:pPr>
          </w:p>
          <w:p w:rsidR="0050122F" w:rsidRPr="005F36B9" w:rsidRDefault="0050122F" w:rsidP="0050122F">
            <w:pPr>
              <w:ind w:right="-20"/>
              <w:jc w:val="center"/>
              <w:rPr>
                <w:spacing w:val="-4"/>
                <w:lang w:val="ru-RU"/>
              </w:rPr>
            </w:pPr>
            <w:r w:rsidRPr="005F36B9">
              <w:rPr>
                <w:spacing w:val="-4"/>
                <w:lang w:val="kk-KZ"/>
              </w:rPr>
              <w:t>195</w:t>
            </w:r>
          </w:p>
        </w:tc>
        <w:tc>
          <w:tcPr>
            <w:tcW w:w="2259" w:type="dxa"/>
            <w:shd w:val="clear" w:color="auto" w:fill="auto"/>
          </w:tcPr>
          <w:p w:rsidR="0050122F" w:rsidRPr="005F36B9" w:rsidRDefault="0050122F" w:rsidP="0050122F">
            <w:pPr>
              <w:ind w:right="-20"/>
              <w:jc w:val="center"/>
              <w:rPr>
                <w:spacing w:val="-4"/>
                <w:lang w:val="ru-RU"/>
              </w:rPr>
            </w:pPr>
          </w:p>
          <w:p w:rsidR="0050122F" w:rsidRPr="005F36B9" w:rsidRDefault="0050122F" w:rsidP="0050122F">
            <w:pPr>
              <w:ind w:right="-20"/>
              <w:jc w:val="center"/>
              <w:rPr>
                <w:spacing w:val="-4"/>
                <w:lang w:val="ru-RU"/>
              </w:rPr>
            </w:pPr>
          </w:p>
          <w:p w:rsidR="0050122F" w:rsidRPr="005F36B9" w:rsidRDefault="0050122F" w:rsidP="0050122F">
            <w:pPr>
              <w:ind w:right="-20"/>
              <w:jc w:val="center"/>
              <w:rPr>
                <w:spacing w:val="-4"/>
                <w:lang w:val="ru-RU"/>
              </w:rPr>
            </w:pPr>
            <w:r w:rsidRPr="005F36B9">
              <w:rPr>
                <w:spacing w:val="-4"/>
                <w:lang w:val="kk-KZ"/>
              </w:rPr>
              <w:t>145</w:t>
            </w:r>
          </w:p>
        </w:tc>
        <w:tc>
          <w:tcPr>
            <w:tcW w:w="2403" w:type="dxa"/>
            <w:shd w:val="clear" w:color="auto" w:fill="auto"/>
          </w:tcPr>
          <w:p w:rsidR="0050122F" w:rsidRPr="005F36B9" w:rsidRDefault="0050122F" w:rsidP="0050122F">
            <w:pPr>
              <w:pStyle w:val="Default"/>
              <w:jc w:val="center"/>
              <w:rPr>
                <w:color w:val="auto"/>
                <w:spacing w:val="-4"/>
              </w:rPr>
            </w:pPr>
          </w:p>
          <w:p w:rsidR="0050122F" w:rsidRPr="005F36B9" w:rsidRDefault="0050122F" w:rsidP="0050122F">
            <w:pPr>
              <w:pStyle w:val="Default"/>
              <w:jc w:val="center"/>
              <w:rPr>
                <w:color w:val="auto"/>
                <w:spacing w:val="-4"/>
              </w:rPr>
            </w:pPr>
          </w:p>
          <w:p w:rsidR="0050122F" w:rsidRPr="005F36B9" w:rsidRDefault="0050122F" w:rsidP="0050122F">
            <w:pPr>
              <w:pStyle w:val="Default"/>
              <w:jc w:val="center"/>
              <w:rPr>
                <w:color w:val="auto"/>
                <w:spacing w:val="-4"/>
              </w:rPr>
            </w:pPr>
            <w:r w:rsidRPr="005F36B9">
              <w:rPr>
                <w:color w:val="auto"/>
                <w:spacing w:val="-4"/>
                <w:lang w:val="kk-KZ"/>
              </w:rPr>
              <w:t>0.67 (0.54, 0.83)</w:t>
            </w:r>
          </w:p>
          <w:p w:rsidR="0050122F" w:rsidRPr="005F36B9" w:rsidRDefault="0050122F" w:rsidP="0050122F">
            <w:pPr>
              <w:ind w:right="-20"/>
              <w:jc w:val="center"/>
              <w:rPr>
                <w:spacing w:val="-4"/>
                <w:lang w:val="ru-RU"/>
              </w:rPr>
            </w:pPr>
            <w:r w:rsidRPr="005F36B9">
              <w:rPr>
                <w:spacing w:val="-4"/>
                <w:lang w:val="kk-KZ"/>
              </w:rPr>
              <w:t>p=0.0003</w:t>
            </w:r>
          </w:p>
        </w:tc>
      </w:tr>
      <w:tr w:rsidR="0050122F" w:rsidRPr="005F36B9" w:rsidTr="0050122F">
        <w:tc>
          <w:tcPr>
            <w:tcW w:w="2151" w:type="dxa"/>
            <w:shd w:val="clear" w:color="auto" w:fill="auto"/>
          </w:tcPr>
          <w:p w:rsidR="0050122F" w:rsidRPr="005F36B9" w:rsidRDefault="0050122F" w:rsidP="0050122F">
            <w:pPr>
              <w:pStyle w:val="ac"/>
              <w:spacing w:before="0" w:beforeAutospacing="0" w:after="0" w:afterAutospacing="0"/>
              <w:rPr>
                <w:spacing w:val="-4"/>
              </w:rPr>
            </w:pPr>
            <w:r w:rsidRPr="005F36B9">
              <w:rPr>
                <w:spacing w:val="-4"/>
                <w:lang w:val="kk-KZ"/>
              </w:rPr>
              <w:t>Кейіннен қайталану</w:t>
            </w:r>
          </w:p>
          <w:p w:rsidR="0050122F" w:rsidRPr="005F36B9" w:rsidRDefault="0050122F" w:rsidP="0050122F">
            <w:pPr>
              <w:ind w:right="-20"/>
              <w:rPr>
                <w:spacing w:val="-4"/>
              </w:rPr>
            </w:pPr>
            <w:r w:rsidRPr="005F36B9">
              <w:rPr>
                <w:spacing w:val="-4"/>
                <w:lang w:val="kk-KZ"/>
              </w:rPr>
              <w:t>Оқиғасымен пациенттер саны</w:t>
            </w:r>
          </w:p>
        </w:tc>
        <w:tc>
          <w:tcPr>
            <w:tcW w:w="2259" w:type="dxa"/>
            <w:shd w:val="clear" w:color="auto" w:fill="auto"/>
          </w:tcPr>
          <w:p w:rsidR="0050122F" w:rsidRPr="005F36B9" w:rsidRDefault="0050122F" w:rsidP="0050122F">
            <w:pPr>
              <w:ind w:right="-20"/>
              <w:jc w:val="center"/>
              <w:rPr>
                <w:spacing w:val="-4"/>
              </w:rPr>
            </w:pPr>
          </w:p>
          <w:p w:rsidR="0050122F" w:rsidRPr="005F36B9" w:rsidRDefault="0050122F" w:rsidP="0050122F">
            <w:pPr>
              <w:ind w:right="-20"/>
              <w:jc w:val="center"/>
              <w:rPr>
                <w:spacing w:val="-4"/>
                <w:lang w:val="ru-RU"/>
              </w:rPr>
            </w:pPr>
            <w:r w:rsidRPr="005F36B9">
              <w:rPr>
                <w:spacing w:val="-4"/>
                <w:lang w:val="kk-KZ"/>
              </w:rPr>
              <w:t xml:space="preserve">144 </w:t>
            </w:r>
          </w:p>
        </w:tc>
        <w:tc>
          <w:tcPr>
            <w:tcW w:w="2259" w:type="dxa"/>
            <w:shd w:val="clear" w:color="auto" w:fill="auto"/>
          </w:tcPr>
          <w:p w:rsidR="0050122F" w:rsidRPr="005F36B9" w:rsidRDefault="0050122F" w:rsidP="0050122F">
            <w:pPr>
              <w:ind w:right="-20"/>
              <w:jc w:val="center"/>
              <w:rPr>
                <w:spacing w:val="-4"/>
                <w:lang w:val="ru-RU"/>
              </w:rPr>
            </w:pPr>
          </w:p>
          <w:p w:rsidR="0050122F" w:rsidRPr="005F36B9" w:rsidRDefault="0050122F" w:rsidP="0050122F">
            <w:pPr>
              <w:ind w:right="-20"/>
              <w:jc w:val="center"/>
              <w:rPr>
                <w:spacing w:val="-4"/>
                <w:lang w:val="ru-RU"/>
              </w:rPr>
            </w:pPr>
            <w:r w:rsidRPr="005F36B9">
              <w:rPr>
                <w:spacing w:val="-4"/>
                <w:lang w:val="kk-KZ"/>
              </w:rPr>
              <w:t xml:space="preserve">103 </w:t>
            </w:r>
          </w:p>
        </w:tc>
        <w:tc>
          <w:tcPr>
            <w:tcW w:w="2403" w:type="dxa"/>
            <w:shd w:val="clear" w:color="auto" w:fill="auto"/>
          </w:tcPr>
          <w:p w:rsidR="0050122F" w:rsidRPr="005F36B9" w:rsidRDefault="0050122F" w:rsidP="0050122F">
            <w:pPr>
              <w:pStyle w:val="Default"/>
              <w:rPr>
                <w:color w:val="auto"/>
                <w:spacing w:val="-4"/>
              </w:rPr>
            </w:pPr>
          </w:p>
          <w:p w:rsidR="0050122F" w:rsidRPr="005F36B9" w:rsidRDefault="0050122F" w:rsidP="0050122F">
            <w:pPr>
              <w:pStyle w:val="Default"/>
              <w:jc w:val="center"/>
              <w:rPr>
                <w:color w:val="auto"/>
                <w:spacing w:val="-4"/>
              </w:rPr>
            </w:pPr>
            <w:r w:rsidRPr="005F36B9">
              <w:rPr>
                <w:color w:val="auto"/>
                <w:spacing w:val="-4"/>
                <w:lang w:val="kk-KZ"/>
              </w:rPr>
              <w:t>0.65 (0.50, 0.84)</w:t>
            </w:r>
          </w:p>
          <w:p w:rsidR="0050122F" w:rsidRPr="005F36B9" w:rsidRDefault="0050122F" w:rsidP="0050122F">
            <w:pPr>
              <w:ind w:right="-20"/>
              <w:jc w:val="center"/>
              <w:rPr>
                <w:spacing w:val="-4"/>
                <w:lang w:val="ru-RU"/>
              </w:rPr>
            </w:pPr>
            <w:r w:rsidRPr="005F36B9">
              <w:rPr>
                <w:spacing w:val="-4"/>
                <w:lang w:val="kk-KZ"/>
              </w:rPr>
              <w:t xml:space="preserve">p=0.0008 </w:t>
            </w:r>
          </w:p>
        </w:tc>
      </w:tr>
      <w:tr w:rsidR="0050122F" w:rsidRPr="005F36B9" w:rsidTr="0050122F">
        <w:tc>
          <w:tcPr>
            <w:tcW w:w="2151" w:type="dxa"/>
            <w:shd w:val="clear" w:color="auto" w:fill="auto"/>
          </w:tcPr>
          <w:p w:rsidR="0050122F" w:rsidRPr="005F36B9" w:rsidRDefault="0050122F" w:rsidP="0050122F">
            <w:pPr>
              <w:pStyle w:val="ac"/>
              <w:spacing w:before="0" w:beforeAutospacing="0" w:after="0" w:afterAutospacing="0"/>
              <w:rPr>
                <w:spacing w:val="-4"/>
              </w:rPr>
            </w:pPr>
            <w:r w:rsidRPr="005F36B9">
              <w:rPr>
                <w:spacing w:val="-4"/>
                <w:lang w:val="kk-KZ"/>
              </w:rPr>
              <w:t>Өліммен аяқталған жағдай (ОЅ)</w:t>
            </w:r>
          </w:p>
          <w:p w:rsidR="0050122F" w:rsidRPr="005F36B9" w:rsidRDefault="0050122F" w:rsidP="0050122F">
            <w:pPr>
              <w:ind w:right="-20"/>
              <w:rPr>
                <w:spacing w:val="-4"/>
              </w:rPr>
            </w:pPr>
            <w:r w:rsidRPr="005F36B9">
              <w:rPr>
                <w:spacing w:val="-4"/>
                <w:lang w:val="kk-KZ"/>
              </w:rPr>
              <w:t>Оқиғасымен пациенттер саны</w:t>
            </w:r>
          </w:p>
        </w:tc>
        <w:tc>
          <w:tcPr>
            <w:tcW w:w="2259" w:type="dxa"/>
            <w:shd w:val="clear" w:color="auto" w:fill="auto"/>
          </w:tcPr>
          <w:p w:rsidR="0050122F" w:rsidRPr="005F36B9" w:rsidRDefault="0050122F" w:rsidP="0050122F">
            <w:pPr>
              <w:ind w:right="-20"/>
              <w:jc w:val="center"/>
              <w:rPr>
                <w:spacing w:val="-4"/>
              </w:rPr>
            </w:pPr>
          </w:p>
          <w:p w:rsidR="0050122F" w:rsidRPr="005F36B9" w:rsidRDefault="0050122F" w:rsidP="0050122F">
            <w:pPr>
              <w:ind w:right="-20"/>
              <w:jc w:val="center"/>
              <w:rPr>
                <w:spacing w:val="-4"/>
              </w:rPr>
            </w:pPr>
          </w:p>
          <w:p w:rsidR="0050122F" w:rsidRPr="005F36B9" w:rsidRDefault="0050122F" w:rsidP="0050122F">
            <w:pPr>
              <w:ind w:right="-20"/>
              <w:jc w:val="center"/>
              <w:rPr>
                <w:spacing w:val="-4"/>
                <w:lang w:val="ru-RU"/>
              </w:rPr>
            </w:pPr>
            <w:r w:rsidRPr="005F36B9">
              <w:rPr>
                <w:spacing w:val="-4"/>
                <w:lang w:val="kk-KZ"/>
              </w:rPr>
              <w:t xml:space="preserve">80 </w:t>
            </w:r>
          </w:p>
        </w:tc>
        <w:tc>
          <w:tcPr>
            <w:tcW w:w="2259" w:type="dxa"/>
            <w:shd w:val="clear" w:color="auto" w:fill="auto"/>
          </w:tcPr>
          <w:p w:rsidR="0050122F" w:rsidRPr="005F36B9" w:rsidRDefault="0050122F" w:rsidP="0050122F">
            <w:pPr>
              <w:ind w:right="-20"/>
              <w:jc w:val="center"/>
              <w:rPr>
                <w:spacing w:val="-4"/>
                <w:lang w:val="ru-RU"/>
              </w:rPr>
            </w:pPr>
          </w:p>
          <w:p w:rsidR="0050122F" w:rsidRPr="005F36B9" w:rsidRDefault="0050122F" w:rsidP="0050122F">
            <w:pPr>
              <w:ind w:right="-20"/>
              <w:jc w:val="center"/>
              <w:rPr>
                <w:spacing w:val="-4"/>
                <w:lang w:val="ru-RU"/>
              </w:rPr>
            </w:pPr>
          </w:p>
          <w:p w:rsidR="0050122F" w:rsidRPr="005F36B9" w:rsidRDefault="0050122F" w:rsidP="0050122F">
            <w:pPr>
              <w:ind w:right="-20"/>
              <w:jc w:val="center"/>
              <w:rPr>
                <w:spacing w:val="-4"/>
                <w:lang w:val="ru-RU"/>
              </w:rPr>
            </w:pPr>
            <w:r w:rsidRPr="005F36B9">
              <w:rPr>
                <w:spacing w:val="-4"/>
                <w:lang w:val="kk-KZ"/>
              </w:rPr>
              <w:t xml:space="preserve">56 </w:t>
            </w:r>
          </w:p>
        </w:tc>
        <w:tc>
          <w:tcPr>
            <w:tcW w:w="2403" w:type="dxa"/>
            <w:shd w:val="clear" w:color="auto" w:fill="auto"/>
          </w:tcPr>
          <w:p w:rsidR="0050122F" w:rsidRPr="005F36B9" w:rsidRDefault="0050122F" w:rsidP="0050122F">
            <w:pPr>
              <w:pStyle w:val="Default"/>
              <w:rPr>
                <w:color w:val="auto"/>
                <w:spacing w:val="-4"/>
              </w:rPr>
            </w:pPr>
          </w:p>
          <w:p w:rsidR="0050122F" w:rsidRPr="005F36B9" w:rsidRDefault="0050122F" w:rsidP="0050122F">
            <w:pPr>
              <w:pStyle w:val="Default"/>
              <w:rPr>
                <w:color w:val="auto"/>
                <w:spacing w:val="-4"/>
              </w:rPr>
            </w:pPr>
          </w:p>
          <w:p w:rsidR="0050122F" w:rsidRPr="005F36B9" w:rsidRDefault="0050122F" w:rsidP="0050122F">
            <w:pPr>
              <w:pStyle w:val="Default"/>
              <w:jc w:val="center"/>
              <w:rPr>
                <w:color w:val="auto"/>
                <w:spacing w:val="-4"/>
              </w:rPr>
            </w:pPr>
            <w:r w:rsidRPr="005F36B9">
              <w:rPr>
                <w:color w:val="auto"/>
                <w:spacing w:val="-4"/>
                <w:lang w:val="kk-KZ"/>
              </w:rPr>
              <w:t>0.66 (0.47, 0.93)</w:t>
            </w:r>
          </w:p>
          <w:p w:rsidR="0050122F" w:rsidRPr="005F36B9" w:rsidRDefault="0050122F" w:rsidP="0050122F">
            <w:pPr>
              <w:ind w:right="-20"/>
              <w:jc w:val="center"/>
              <w:rPr>
                <w:spacing w:val="-4"/>
                <w:lang w:val="ru-RU"/>
              </w:rPr>
            </w:pPr>
            <w:r w:rsidRPr="005F36B9">
              <w:rPr>
                <w:spacing w:val="-4"/>
                <w:lang w:val="kk-KZ"/>
              </w:rPr>
              <w:t xml:space="preserve">p=0.0182 </w:t>
            </w:r>
          </w:p>
        </w:tc>
      </w:tr>
    </w:tbl>
    <w:p w:rsidR="0050122F" w:rsidRPr="005F36B9" w:rsidRDefault="0050122F" w:rsidP="0050122F">
      <w:pPr>
        <w:pStyle w:val="ac"/>
        <w:spacing w:before="0" w:beforeAutospacing="0" w:after="0" w:afterAutospacing="0"/>
        <w:jc w:val="both"/>
        <w:rPr>
          <w:spacing w:val="-4"/>
        </w:rPr>
      </w:pPr>
      <w:r w:rsidRPr="005F36B9">
        <w:rPr>
          <w:spacing w:val="-4"/>
          <w:lang w:val="kk-KZ"/>
        </w:rPr>
        <w:t>AC→D = доксорубицин плюс циклофосфамид, содан кейін – доцетаксел; DCarbH = доцетаксел, карбоплатин және трастузумаб; СА= сенімді аралық.</w:t>
      </w:r>
    </w:p>
    <w:p w:rsidR="0050122F" w:rsidRPr="005F36B9" w:rsidRDefault="0050122F" w:rsidP="0050122F">
      <w:pPr>
        <w:pStyle w:val="ac"/>
        <w:spacing w:before="0" w:beforeAutospacing="0" w:after="0" w:afterAutospacing="0"/>
        <w:jc w:val="both"/>
        <w:rPr>
          <w:spacing w:val="-4"/>
        </w:rPr>
      </w:pPr>
    </w:p>
    <w:p w:rsidR="0050122F" w:rsidRPr="005F36B9" w:rsidRDefault="0050122F" w:rsidP="0050122F">
      <w:pPr>
        <w:pStyle w:val="ac"/>
        <w:spacing w:before="0" w:beforeAutospacing="0" w:after="0" w:afterAutospacing="0"/>
        <w:jc w:val="both"/>
        <w:rPr>
          <w:spacing w:val="-4"/>
        </w:rPr>
      </w:pPr>
      <w:r w:rsidRPr="005F36B9">
        <w:rPr>
          <w:spacing w:val="-4"/>
          <w:lang w:val="kk-KZ"/>
        </w:rPr>
        <w:t>DFS бастапқы ақырғы нүктесі үшін BCIRG 006 зерттеуінде қауіптер қатынасы ауру белгілері жоқ 3 жылдық өмір сүру көрсеткіші бойынша абсолюттік артықшылық ретінде түсіндіріледі және АС→DH тобында (</w:t>
      </w:r>
      <w:r w:rsidR="00BC55C6" w:rsidRPr="005F36B9">
        <w:rPr>
          <w:spacing w:val="-4"/>
          <w:lang w:val="kk-KZ"/>
        </w:rPr>
        <w:t>трастузумаб</w:t>
      </w:r>
      <w:r w:rsidR="0001230E" w:rsidRPr="005F36B9">
        <w:rPr>
          <w:spacing w:val="-4"/>
          <w:lang w:val="kk-KZ"/>
        </w:rPr>
        <w:t>) 5.8%-ға жоғары (80.9%-бен салыстырғанда 86.7</w:t>
      </w:r>
      <w:r w:rsidRPr="005F36B9">
        <w:rPr>
          <w:spacing w:val="-4"/>
          <w:lang w:val="kk-KZ"/>
        </w:rPr>
        <w:t>%) және АС→D тобымен салыстырғанда DCarbH тобында (</w:t>
      </w:r>
      <w:r w:rsidR="00BC55C6" w:rsidRPr="005F36B9">
        <w:rPr>
          <w:spacing w:val="-4"/>
          <w:lang w:val="kk-KZ"/>
        </w:rPr>
        <w:t>трастузумабпен</w:t>
      </w:r>
      <w:r w:rsidRPr="005F36B9">
        <w:rPr>
          <w:spacing w:val="-4"/>
          <w:lang w:val="kk-KZ"/>
        </w:rPr>
        <w:t xml:space="preserve">) 4.6%-ға жоғары (80.9%-бен салыстырғанда 85.5%) болды. </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 xml:space="preserve">BCIRG 006 зерттеуіндегі DCarbH (ТСН) тобындағы 1075 пациенттің 213-інде, АС→DH (АС→ТН) тобындағы 1074 пациенттің 221-інде және АС→D (АС→Т) тобындағы 1073 пациенттің 217-інде Карновский шкаласы бойынша жалпы жағдай ≤90 (80 немесе 90) құрады. Пациенттердің осы қосалқы тобында DCarbH (ТСН) схемасы үшін DFS көрсеткіші (ҚҚ=1.16, 95% СА [0.73, 1.83] бойынша АС→D (АС→Т схемасымен салыстырғанда артықшылығы байқалмады); АС→D схемасымен салыстырғанда АС→DH (АС→ТН) ҚҚ=0.97, 95% СА [0.60, 1.55]. </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Сонымен қатар, NSABP B-31/NCCTG N9831* және BCIRG006 клиникалық зерттеулерін DFS оқиғалары мен симптоматикалық кардиальді оқиғаларын біріктіретін бірлескен талдау нәтижесінде алынған жиынтық мәліметтерге ретроспективті з</w:t>
      </w:r>
      <w:r w:rsidR="008911FB" w:rsidRPr="005F36B9">
        <w:rPr>
          <w:spacing w:val="-4"/>
          <w:lang w:val="kk-KZ"/>
        </w:rPr>
        <w:t xml:space="preserve">ерттеу жүргізілді; нәтижелер 10 </w:t>
      </w:r>
      <w:r w:rsidRPr="005F36B9">
        <w:rPr>
          <w:spacing w:val="-4"/>
          <w:lang w:val="kk-KZ"/>
        </w:rPr>
        <w:t>кестеде жинақталған:</w:t>
      </w:r>
    </w:p>
    <w:p w:rsidR="0050122F" w:rsidRPr="005F36B9" w:rsidRDefault="0050122F" w:rsidP="0050122F">
      <w:pPr>
        <w:pStyle w:val="ac"/>
        <w:spacing w:before="0" w:beforeAutospacing="0" w:after="0" w:afterAutospacing="0"/>
        <w:jc w:val="both"/>
        <w:rPr>
          <w:spacing w:val="-4"/>
          <w:lang w:val="kk-KZ"/>
        </w:rPr>
      </w:pPr>
    </w:p>
    <w:p w:rsidR="0050122F" w:rsidRPr="005F36B9" w:rsidRDefault="008911FB" w:rsidP="0050122F">
      <w:pPr>
        <w:pStyle w:val="ac"/>
        <w:spacing w:before="0" w:beforeAutospacing="0" w:after="0" w:afterAutospacing="0"/>
        <w:jc w:val="both"/>
        <w:rPr>
          <w:b/>
          <w:spacing w:val="-4"/>
          <w:lang w:val="kk-KZ"/>
        </w:rPr>
      </w:pPr>
      <w:r w:rsidRPr="005F36B9">
        <w:rPr>
          <w:b/>
          <w:spacing w:val="-4"/>
          <w:lang w:val="kk-KZ"/>
        </w:rPr>
        <w:t xml:space="preserve">10 </w:t>
      </w:r>
      <w:r w:rsidR="0050122F" w:rsidRPr="005F36B9">
        <w:rPr>
          <w:b/>
          <w:spacing w:val="-4"/>
          <w:lang w:val="kk-KZ"/>
        </w:rPr>
        <w:t>кесте. NSABP В-31/NСCЕG Т9831* және BCIRG006 клиникалық зерттеулерін бірлесіп талдау барысында алынған нәтижелерді ретроспективті зерттеу талдауы, DFS оқиғалары мен симптоматикалық кардиальдіоқиғаларын біріктіреді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259"/>
        <w:gridCol w:w="2260"/>
        <w:gridCol w:w="2402"/>
      </w:tblGrid>
      <w:tr w:rsidR="0050122F" w:rsidRPr="005F36B9" w:rsidTr="0050122F">
        <w:tc>
          <w:tcPr>
            <w:tcW w:w="2151" w:type="dxa"/>
            <w:shd w:val="clear" w:color="auto" w:fill="auto"/>
          </w:tcPr>
          <w:p w:rsidR="0050122F" w:rsidRPr="005F36B9" w:rsidRDefault="0050122F" w:rsidP="0050122F">
            <w:pPr>
              <w:ind w:right="-20"/>
              <w:jc w:val="both"/>
              <w:rPr>
                <w:rFonts w:ascii="Arial" w:hAnsi="Arial" w:cs="Arial"/>
                <w:spacing w:val="-4"/>
                <w:lang w:val="kk-KZ"/>
              </w:rPr>
            </w:pPr>
          </w:p>
        </w:tc>
        <w:tc>
          <w:tcPr>
            <w:tcW w:w="2259" w:type="dxa"/>
            <w:shd w:val="clear" w:color="auto" w:fill="auto"/>
          </w:tcPr>
          <w:p w:rsidR="0050122F" w:rsidRPr="005F36B9" w:rsidRDefault="0050122F" w:rsidP="0050122F">
            <w:pPr>
              <w:pStyle w:val="ac"/>
              <w:spacing w:before="0" w:beforeAutospacing="0" w:after="0" w:afterAutospacing="0"/>
              <w:jc w:val="center"/>
              <w:rPr>
                <w:spacing w:val="-4"/>
                <w:lang w:val="kk-KZ"/>
              </w:rPr>
            </w:pPr>
            <w:r w:rsidRPr="005F36B9">
              <w:rPr>
                <w:spacing w:val="-4"/>
                <w:lang w:val="kk-KZ"/>
              </w:rPr>
              <w:t>AC→PH</w:t>
            </w:r>
          </w:p>
          <w:p w:rsidR="0050122F" w:rsidRPr="005F36B9" w:rsidRDefault="0050122F" w:rsidP="0050122F">
            <w:pPr>
              <w:pStyle w:val="ac"/>
              <w:spacing w:before="0" w:beforeAutospacing="0" w:after="0" w:afterAutospacing="0"/>
              <w:jc w:val="center"/>
              <w:rPr>
                <w:spacing w:val="-4"/>
                <w:lang w:val="kk-KZ"/>
              </w:rPr>
            </w:pPr>
            <w:r w:rsidRPr="005F36B9">
              <w:rPr>
                <w:spacing w:val="-4"/>
                <w:lang w:val="kk-KZ"/>
              </w:rPr>
              <w:t>(AC→P салыстырғанда)</w:t>
            </w:r>
          </w:p>
          <w:p w:rsidR="0050122F" w:rsidRPr="005F36B9" w:rsidRDefault="0050122F" w:rsidP="0050122F">
            <w:pPr>
              <w:pStyle w:val="ac"/>
              <w:spacing w:before="0" w:beforeAutospacing="0" w:after="0" w:afterAutospacing="0"/>
              <w:jc w:val="center"/>
              <w:rPr>
                <w:spacing w:val="-4"/>
                <w:lang w:val="kk-KZ"/>
              </w:rPr>
            </w:pPr>
            <w:r w:rsidRPr="005F36B9">
              <w:rPr>
                <w:spacing w:val="-4"/>
                <w:lang w:val="kk-KZ"/>
              </w:rPr>
              <w:t xml:space="preserve">(NSABP B-31 және </w:t>
            </w:r>
            <w:r w:rsidRPr="005F36B9">
              <w:rPr>
                <w:spacing w:val="-4"/>
                <w:lang w:val="kk-KZ"/>
              </w:rPr>
              <w:lastRenderedPageBreak/>
              <w:t>NCCTG N9831)*</w:t>
            </w:r>
          </w:p>
        </w:tc>
        <w:tc>
          <w:tcPr>
            <w:tcW w:w="2260" w:type="dxa"/>
            <w:shd w:val="clear" w:color="auto" w:fill="auto"/>
          </w:tcPr>
          <w:p w:rsidR="0050122F" w:rsidRPr="005F36B9" w:rsidRDefault="0050122F" w:rsidP="0050122F">
            <w:pPr>
              <w:pStyle w:val="ac"/>
              <w:spacing w:before="0" w:beforeAutospacing="0" w:after="0" w:afterAutospacing="0"/>
              <w:jc w:val="center"/>
              <w:rPr>
                <w:spacing w:val="-4"/>
                <w:lang w:val="kk-KZ"/>
              </w:rPr>
            </w:pPr>
            <w:r w:rsidRPr="005F36B9">
              <w:rPr>
                <w:spacing w:val="-4"/>
                <w:lang w:val="kk-KZ"/>
              </w:rPr>
              <w:lastRenderedPageBreak/>
              <w:t>AC→DH</w:t>
            </w:r>
          </w:p>
          <w:p w:rsidR="0050122F" w:rsidRPr="005F36B9" w:rsidRDefault="0050122F" w:rsidP="0050122F">
            <w:pPr>
              <w:pStyle w:val="ac"/>
              <w:spacing w:before="0" w:beforeAutospacing="0" w:after="0" w:afterAutospacing="0"/>
              <w:jc w:val="center"/>
              <w:rPr>
                <w:spacing w:val="-4"/>
                <w:lang w:val="kk-KZ"/>
              </w:rPr>
            </w:pPr>
            <w:r w:rsidRPr="005F36B9">
              <w:rPr>
                <w:spacing w:val="-4"/>
                <w:lang w:val="kk-KZ"/>
              </w:rPr>
              <w:t>(AC→D салыстырғанда)</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(BCIRG 006)</w:t>
            </w:r>
          </w:p>
        </w:tc>
        <w:tc>
          <w:tcPr>
            <w:tcW w:w="2402"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DCarbH</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(AC→D салыстырғанда)</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(BCIRG 006)</w:t>
            </w:r>
          </w:p>
        </w:tc>
      </w:tr>
      <w:tr w:rsidR="0050122F" w:rsidRPr="005F36B9" w:rsidTr="0050122F">
        <w:tc>
          <w:tcPr>
            <w:tcW w:w="2151" w:type="dxa"/>
            <w:shd w:val="clear" w:color="auto" w:fill="auto"/>
          </w:tcPr>
          <w:p w:rsidR="0050122F" w:rsidRPr="005F36B9" w:rsidRDefault="0050122F" w:rsidP="0050122F">
            <w:pPr>
              <w:ind w:right="-20"/>
              <w:jc w:val="center"/>
              <w:rPr>
                <w:rFonts w:ascii="Arial" w:hAnsi="Arial" w:cs="Arial"/>
                <w:spacing w:val="-4"/>
                <w:lang w:val="ru-RU"/>
              </w:rPr>
            </w:pPr>
            <w:r w:rsidRPr="005F36B9">
              <w:rPr>
                <w:spacing w:val="-4"/>
                <w:lang w:val="kk-KZ"/>
              </w:rPr>
              <w:lastRenderedPageBreak/>
              <w:t xml:space="preserve">Бастапқы тиімділікті талдау </w:t>
            </w:r>
            <w:r w:rsidRPr="005F36B9">
              <w:rPr>
                <w:spacing w:val="-4"/>
                <w:lang w:val="kk-KZ"/>
              </w:rPr>
              <w:br/>
              <w:t xml:space="preserve">DFS үшін қауіптер қатынасы </w:t>
            </w:r>
            <w:r w:rsidRPr="005F36B9">
              <w:rPr>
                <w:spacing w:val="-4"/>
                <w:lang w:val="kk-KZ"/>
              </w:rPr>
              <w:br/>
              <w:t xml:space="preserve">(95% СА) </w:t>
            </w:r>
            <w:r w:rsidRPr="005F36B9">
              <w:rPr>
                <w:spacing w:val="-4"/>
                <w:lang w:val="kk-KZ"/>
              </w:rPr>
              <w:br/>
              <w:t>р-мәні</w:t>
            </w:r>
          </w:p>
        </w:tc>
        <w:tc>
          <w:tcPr>
            <w:tcW w:w="2259" w:type="dxa"/>
            <w:shd w:val="clear" w:color="auto" w:fill="auto"/>
          </w:tcPr>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0.48 </w:t>
            </w: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(0.39, 0.59) </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p&lt;0.0001 </w:t>
            </w:r>
          </w:p>
        </w:tc>
        <w:tc>
          <w:tcPr>
            <w:tcW w:w="2260" w:type="dxa"/>
            <w:shd w:val="clear" w:color="auto" w:fill="auto"/>
          </w:tcPr>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0.61 </w:t>
            </w: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(0.49, 0.77) </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p&lt; 0.0001 </w:t>
            </w:r>
          </w:p>
        </w:tc>
        <w:tc>
          <w:tcPr>
            <w:tcW w:w="2402" w:type="dxa"/>
            <w:shd w:val="clear" w:color="auto" w:fill="auto"/>
          </w:tcPr>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0.67 </w:t>
            </w: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(0.54, 0.83) </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p=0.0003 </w:t>
            </w:r>
          </w:p>
        </w:tc>
      </w:tr>
      <w:tr w:rsidR="0050122F" w:rsidRPr="005F36B9" w:rsidTr="0050122F">
        <w:tc>
          <w:tcPr>
            <w:tcW w:w="2151" w:type="dxa"/>
            <w:shd w:val="clear" w:color="auto" w:fill="auto"/>
          </w:tcPr>
          <w:p w:rsidR="0050122F" w:rsidRPr="005F36B9" w:rsidRDefault="0050122F" w:rsidP="0050122F">
            <w:pPr>
              <w:ind w:right="-20"/>
              <w:jc w:val="center"/>
              <w:rPr>
                <w:spacing w:val="-4"/>
              </w:rPr>
            </w:pPr>
            <w:r w:rsidRPr="005F36B9">
              <w:rPr>
                <w:spacing w:val="-4"/>
                <w:lang w:val="kk-KZ"/>
              </w:rPr>
              <w:t>Ұзақ мерзімді кейінгі бақылау кезінде тиімділікті талдау**</w:t>
            </w:r>
            <w:r w:rsidRPr="005F36B9">
              <w:rPr>
                <w:spacing w:val="-4"/>
                <w:lang w:val="kk-KZ"/>
              </w:rPr>
              <w:br/>
              <w:t xml:space="preserve"> DFS үшін қауіптер қатынасы</w:t>
            </w:r>
            <w:r w:rsidRPr="005F36B9">
              <w:rPr>
                <w:spacing w:val="-4"/>
                <w:lang w:val="kk-KZ"/>
              </w:rPr>
              <w:br/>
              <w:t xml:space="preserve"> (95% СА)</w:t>
            </w:r>
            <w:r w:rsidRPr="005F36B9">
              <w:rPr>
                <w:spacing w:val="-4"/>
                <w:lang w:val="kk-KZ"/>
              </w:rPr>
              <w:br/>
              <w:t xml:space="preserve"> р-мәні</w:t>
            </w:r>
          </w:p>
        </w:tc>
        <w:tc>
          <w:tcPr>
            <w:tcW w:w="2259" w:type="dxa"/>
            <w:shd w:val="clear" w:color="auto" w:fill="auto"/>
          </w:tcPr>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0.61</w:t>
            </w: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(0.54, 0.69)</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p&lt;0.0001</w:t>
            </w:r>
          </w:p>
        </w:tc>
        <w:tc>
          <w:tcPr>
            <w:tcW w:w="2260" w:type="dxa"/>
            <w:shd w:val="clear" w:color="auto" w:fill="auto"/>
          </w:tcPr>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0.72</w:t>
            </w: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(0.61, 0.85)</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p&lt;0.0001</w:t>
            </w:r>
          </w:p>
        </w:tc>
        <w:tc>
          <w:tcPr>
            <w:tcW w:w="2402" w:type="dxa"/>
            <w:shd w:val="clear" w:color="auto" w:fill="auto"/>
          </w:tcPr>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0.77</w:t>
            </w: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(0.65, 0.90)</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p=0.0011</w:t>
            </w:r>
          </w:p>
        </w:tc>
      </w:tr>
      <w:tr w:rsidR="0050122F" w:rsidRPr="005F36B9" w:rsidTr="0050122F">
        <w:tc>
          <w:tcPr>
            <w:tcW w:w="2151" w:type="dxa"/>
            <w:shd w:val="clear" w:color="auto" w:fill="auto"/>
          </w:tcPr>
          <w:p w:rsidR="0050122F" w:rsidRPr="005F36B9" w:rsidRDefault="0050122F" w:rsidP="0050122F">
            <w:pPr>
              <w:ind w:right="-20"/>
              <w:jc w:val="center"/>
              <w:rPr>
                <w:spacing w:val="-4"/>
              </w:rPr>
            </w:pPr>
            <w:r w:rsidRPr="005F36B9">
              <w:rPr>
                <w:spacing w:val="-4"/>
                <w:lang w:val="kk-KZ"/>
              </w:rPr>
              <w:t>DFS оқиғаларын және симптоматикалық кардиальді оқиғаларын ретроспективті зерттеу</w:t>
            </w:r>
            <w:r w:rsidRPr="005F36B9">
              <w:rPr>
                <w:spacing w:val="-4"/>
                <w:lang w:val="kk-KZ"/>
              </w:rPr>
              <w:br/>
              <w:t xml:space="preserve"> Ұзақ мерзімді бақылау**</w:t>
            </w:r>
            <w:r w:rsidRPr="005F36B9">
              <w:rPr>
                <w:spacing w:val="-4"/>
                <w:lang w:val="kk-KZ"/>
              </w:rPr>
              <w:br/>
              <w:t xml:space="preserve"> Қауіптер қатынасы</w:t>
            </w:r>
            <w:r w:rsidRPr="005F36B9">
              <w:rPr>
                <w:spacing w:val="-4"/>
                <w:lang w:val="kk-KZ"/>
              </w:rPr>
              <w:br/>
              <w:t xml:space="preserve"> (95% СА)</w:t>
            </w:r>
          </w:p>
        </w:tc>
        <w:tc>
          <w:tcPr>
            <w:tcW w:w="2259" w:type="dxa"/>
            <w:shd w:val="clear" w:color="auto" w:fill="auto"/>
          </w:tcPr>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rPr>
                <w:spacing w:val="-4"/>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0.67 </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(0.60, 0.75) </w:t>
            </w:r>
          </w:p>
        </w:tc>
        <w:tc>
          <w:tcPr>
            <w:tcW w:w="2260" w:type="dxa"/>
            <w:shd w:val="clear" w:color="auto" w:fill="auto"/>
          </w:tcPr>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0.77 </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(0.66, 0.90) </w:t>
            </w:r>
          </w:p>
        </w:tc>
        <w:tc>
          <w:tcPr>
            <w:tcW w:w="2402" w:type="dxa"/>
            <w:shd w:val="clear" w:color="auto" w:fill="auto"/>
          </w:tcPr>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rPr>
                <w:spacing w:val="-4"/>
                <w:lang w:val="ru-RU"/>
              </w:rPr>
            </w:pPr>
          </w:p>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0.77 </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(0.66, 0.90) </w:t>
            </w:r>
          </w:p>
        </w:tc>
      </w:tr>
    </w:tbl>
    <w:p w:rsidR="0050122F" w:rsidRPr="005F36B9" w:rsidRDefault="0050122F" w:rsidP="0050122F">
      <w:pPr>
        <w:ind w:right="-20"/>
        <w:jc w:val="both"/>
        <w:rPr>
          <w:spacing w:val="-4"/>
          <w:lang w:val="ru-RU"/>
        </w:rPr>
      </w:pPr>
      <w:r w:rsidRPr="005F36B9">
        <w:rPr>
          <w:spacing w:val="-4"/>
          <w:lang w:val="kk-KZ"/>
        </w:rPr>
        <w:t>А: доксорубицин; С: циклофосфамид; Р: паклитаксел; D: доцетаксел; Carb: карбоплатин; Н: трастузумаб; СА = сенімді аралық.</w:t>
      </w:r>
    </w:p>
    <w:p w:rsidR="0050122F" w:rsidRPr="005F36B9" w:rsidRDefault="0050122F" w:rsidP="0050122F">
      <w:pPr>
        <w:pStyle w:val="ac"/>
        <w:spacing w:before="0" w:beforeAutospacing="0" w:after="0" w:afterAutospacing="0"/>
        <w:jc w:val="both"/>
        <w:rPr>
          <w:spacing w:val="-4"/>
          <w:lang w:val="ru-RU"/>
        </w:rPr>
      </w:pPr>
      <w:r w:rsidRPr="005F36B9">
        <w:rPr>
          <w:spacing w:val="-4"/>
          <w:lang w:val="kk-KZ"/>
        </w:rPr>
        <w:t>* DFS түпкілікті талдау кезінде. Келесі бақылау ұзақтығының медианасы АС→Р тобында 1.8 жылды және АС→РН тобында 2.0 жылды құрады</w:t>
      </w:r>
    </w:p>
    <w:p w:rsidR="0050122F" w:rsidRPr="005F36B9" w:rsidRDefault="0050122F" w:rsidP="0050122F">
      <w:pPr>
        <w:pStyle w:val="ac"/>
        <w:spacing w:before="0" w:beforeAutospacing="0" w:after="0" w:afterAutospacing="0"/>
        <w:jc w:val="both"/>
        <w:rPr>
          <w:spacing w:val="-4"/>
          <w:lang w:val="ru-RU"/>
        </w:rPr>
      </w:pPr>
      <w:r w:rsidRPr="005F36B9">
        <w:rPr>
          <w:spacing w:val="-4"/>
          <w:lang w:val="kk-KZ"/>
        </w:rPr>
        <w:t>**Клиникалық зерттеулерді бірлесіп талдау үшін ұзақ мерзімді кейінгі бақылаудың медианасы АС→РН тобында 8.3 жылды (ауқымы: 0.1-ден 12.1-ге дейін) және АС→Р тобында 7.9 жылды (ауқымы: 0.0-ден 12.2-ге дейін) құрады; BCIRG 006 клиникалық зерттеу үшін ұзақ мерзімді бақылау медианасы AC→D (ауқымы: 0.0-ден 12.6-ға дейін) және DCarbH тобында (ауқымы: 0.0-ден 13.1-ге дейін) және 10.4-де (ауқымы: 0.0-ден 12.7-ге дейін) AC→DH тобында 10.3 жыл болды.</w:t>
      </w:r>
    </w:p>
    <w:p w:rsidR="0050122F" w:rsidRPr="005F36B9" w:rsidRDefault="0050122F" w:rsidP="0050122F">
      <w:pPr>
        <w:pStyle w:val="ac"/>
        <w:spacing w:before="0" w:beforeAutospacing="0" w:after="0" w:afterAutospacing="0"/>
        <w:jc w:val="both"/>
        <w:rPr>
          <w:spacing w:val="-4"/>
          <w:lang w:val="ru-RU"/>
        </w:rPr>
      </w:pPr>
    </w:p>
    <w:p w:rsidR="0050122F" w:rsidRPr="005F36B9" w:rsidRDefault="0050122F" w:rsidP="0050122F">
      <w:pPr>
        <w:pStyle w:val="ac"/>
        <w:spacing w:before="0" w:beforeAutospacing="0" w:after="0" w:afterAutospacing="0"/>
        <w:jc w:val="both"/>
        <w:rPr>
          <w:i/>
          <w:spacing w:val="-4"/>
          <w:u w:val="single"/>
          <w:lang w:val="ru-RU"/>
        </w:rPr>
      </w:pPr>
      <w:r w:rsidRPr="005F36B9">
        <w:rPr>
          <w:i/>
          <w:spacing w:val="-4"/>
          <w:u w:val="single"/>
          <w:lang w:val="kk-KZ"/>
        </w:rPr>
        <w:t>Сүт безінің ерте обыры (неоадъювантты және адъювантты режим)</w:t>
      </w:r>
    </w:p>
    <w:p w:rsidR="0050122F" w:rsidRPr="005F36B9" w:rsidRDefault="0050122F" w:rsidP="0050122F">
      <w:pPr>
        <w:ind w:right="-20"/>
        <w:jc w:val="both"/>
        <w:rPr>
          <w:i/>
          <w:spacing w:val="-4"/>
          <w:lang w:val="ru-RU" w:eastAsia="ja-JP"/>
        </w:rPr>
      </w:pPr>
      <w:r w:rsidRPr="005F36B9">
        <w:rPr>
          <w:i/>
          <w:spacing w:val="-4"/>
          <w:lang w:val="kk-KZ" w:eastAsia="ja-JP"/>
        </w:rPr>
        <w:t>Препараттың вена ішіне енгізуге арналған дәрілік түрі</w:t>
      </w:r>
    </w:p>
    <w:p w:rsidR="0050122F" w:rsidRPr="005F36B9" w:rsidRDefault="0050122F" w:rsidP="0050122F">
      <w:pPr>
        <w:pStyle w:val="ac"/>
        <w:spacing w:before="0" w:beforeAutospacing="0" w:after="0" w:afterAutospacing="0"/>
        <w:jc w:val="both"/>
        <w:rPr>
          <w:spacing w:val="-4"/>
          <w:lang w:val="ru-RU"/>
        </w:rPr>
      </w:pPr>
      <w:r w:rsidRPr="005F36B9">
        <w:rPr>
          <w:spacing w:val="-4"/>
          <w:lang w:val="kk-KZ"/>
        </w:rPr>
        <w:t>«</w:t>
      </w:r>
      <w:r w:rsidR="00D11169" w:rsidRPr="005F36B9">
        <w:rPr>
          <w:spacing w:val="-4"/>
          <w:lang w:val="kk-KZ"/>
        </w:rPr>
        <w:t>трастузумаб</w:t>
      </w:r>
      <w:r w:rsidRPr="005F36B9">
        <w:rPr>
          <w:spacing w:val="-4"/>
          <w:lang w:val="kk-KZ"/>
        </w:rPr>
        <w:t>+химиотерапия» біріктірілімін адъювантты режимде және неоадъювантты/адъювантты режимде қолдану тиімділігін салыстыру нәтижелері қазіргі уақытта жоқ.</w:t>
      </w:r>
    </w:p>
    <w:p w:rsidR="0050122F" w:rsidRPr="005F36B9" w:rsidRDefault="0050122F" w:rsidP="0050122F">
      <w:pPr>
        <w:pStyle w:val="ac"/>
        <w:spacing w:before="0" w:beforeAutospacing="0" w:after="0" w:afterAutospacing="0"/>
        <w:jc w:val="both"/>
        <w:rPr>
          <w:rFonts w:ascii="Arial" w:hAnsi="Arial" w:cs="Arial"/>
          <w:spacing w:val="-4"/>
          <w:lang w:val="kk-KZ"/>
        </w:rPr>
      </w:pPr>
      <w:r w:rsidRPr="005F36B9">
        <w:rPr>
          <w:spacing w:val="-4"/>
          <w:lang w:val="kk-KZ"/>
        </w:rPr>
        <w:t xml:space="preserve">Неоадъювантты-адъювантты емдеу режимі: МО16432 көп орталықты рандомизацияланған зерттеу дизайны </w:t>
      </w:r>
      <w:r w:rsidR="00D11169" w:rsidRPr="005F36B9">
        <w:rPr>
          <w:spacing w:val="-4"/>
          <w:lang w:val="kk-KZ"/>
        </w:rPr>
        <w:t xml:space="preserve">трастузумаб </w:t>
      </w:r>
      <w:r w:rsidRPr="005F36B9">
        <w:rPr>
          <w:spacing w:val="-4"/>
          <w:lang w:val="kk-KZ"/>
        </w:rPr>
        <w:t xml:space="preserve">және антрациклиндер мен таксандарды қамтитын неоадъювантты химиотерапияны бірге қолданудың клиникалық тиімділігін зерттеу мақсатында әзірленді, одан кейін жалпы емдеу ұзақтығы 1 жыл болатын </w:t>
      </w:r>
      <w:r w:rsidR="00177549" w:rsidRPr="005F36B9">
        <w:rPr>
          <w:spacing w:val="-4"/>
          <w:lang w:val="kk-KZ"/>
        </w:rPr>
        <w:t>трастузумабпен</w:t>
      </w:r>
      <w:r w:rsidRPr="005F36B9">
        <w:rPr>
          <w:spacing w:val="-4"/>
          <w:lang w:val="kk-KZ"/>
        </w:rPr>
        <w:t xml:space="preserve"> адъювантты емдеу курсы жүргізілді. Зерттеуге алғаш анықталған СБеО-ның жергілікті-таралған (III кезең) немесе қабыну түрімен ауыратын пациенттер енгізілді. HER2-оң ісіктері бар пациенттер неоадъювантты химиотерапия алу үшін </w:t>
      </w:r>
      <w:r w:rsidR="00177549" w:rsidRPr="005F36B9">
        <w:rPr>
          <w:spacing w:val="-4"/>
          <w:lang w:val="kk-KZ"/>
        </w:rPr>
        <w:t xml:space="preserve">трастузумабпен </w:t>
      </w:r>
      <w:r w:rsidRPr="005F36B9">
        <w:rPr>
          <w:spacing w:val="-4"/>
          <w:lang w:val="kk-KZ"/>
        </w:rPr>
        <w:t>неоадъювантты-адъювантты емдеумен немесе тек неоадъювантты химиотерапиямен бірге рандомизацияланған.</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lastRenderedPageBreak/>
        <w:t xml:space="preserve">МО16432 зерттеуінде </w:t>
      </w:r>
      <w:r w:rsidR="00177549" w:rsidRPr="005F36B9">
        <w:rPr>
          <w:spacing w:val="-4"/>
          <w:lang w:val="kk-KZ"/>
        </w:rPr>
        <w:t xml:space="preserve">трастузумаб </w:t>
      </w:r>
      <w:r w:rsidRPr="005F36B9">
        <w:rPr>
          <w:spacing w:val="-4"/>
          <w:lang w:val="kk-KZ"/>
        </w:rPr>
        <w:t>(жүктемелік дозасы 8 мг/кг, содан кейін әр 3 апта сайын 6 мг/кг демеуші дозасын енгізу) неоадъювантты химиотерапияның 10 циклімен бірге мынадай түрде тағайындалды:</w:t>
      </w:r>
    </w:p>
    <w:p w:rsidR="0050122F" w:rsidRPr="005F36B9" w:rsidRDefault="0050122F" w:rsidP="0050122F">
      <w:pPr>
        <w:pStyle w:val="ac"/>
        <w:numPr>
          <w:ilvl w:val="0"/>
          <w:numId w:val="6"/>
        </w:numPr>
        <w:spacing w:before="0" w:beforeAutospacing="0" w:after="0" w:afterAutospacing="0"/>
        <w:jc w:val="both"/>
        <w:rPr>
          <w:spacing w:val="-4"/>
          <w:lang w:val="kk-KZ"/>
        </w:rPr>
      </w:pPr>
      <w:r w:rsidRPr="005F36B9">
        <w:rPr>
          <w:spacing w:val="-4"/>
          <w:lang w:val="kk-KZ"/>
        </w:rPr>
        <w:t>емдеудің 3 циклі бойына әрбір 3 апта сайын 60 мг/м</w:t>
      </w:r>
      <w:r w:rsidRPr="005F36B9">
        <w:rPr>
          <w:spacing w:val="-4"/>
          <w:vertAlign w:val="superscript"/>
          <w:lang w:val="kk-KZ"/>
        </w:rPr>
        <w:t>2</w:t>
      </w:r>
      <w:r w:rsidRPr="005F36B9">
        <w:rPr>
          <w:spacing w:val="-4"/>
          <w:lang w:val="kk-KZ"/>
        </w:rPr>
        <w:t xml:space="preserve"> дозадағы доксорубицин және 150 мг/м</w:t>
      </w:r>
      <w:r w:rsidRPr="005F36B9">
        <w:rPr>
          <w:spacing w:val="-4"/>
          <w:vertAlign w:val="superscript"/>
          <w:lang w:val="kk-KZ"/>
        </w:rPr>
        <w:t>2</w:t>
      </w:r>
      <w:r w:rsidRPr="005F36B9">
        <w:rPr>
          <w:spacing w:val="-4"/>
          <w:lang w:val="kk-KZ"/>
        </w:rPr>
        <w:t xml:space="preserve"> дозадағы паклитаксел;</w:t>
      </w:r>
    </w:p>
    <w:p w:rsidR="0050122F" w:rsidRPr="005F36B9" w:rsidRDefault="0050122F" w:rsidP="0050122F">
      <w:pPr>
        <w:pStyle w:val="ac"/>
        <w:spacing w:before="0" w:beforeAutospacing="0" w:after="0" w:afterAutospacing="0"/>
        <w:jc w:val="both"/>
        <w:rPr>
          <w:spacing w:val="-4"/>
          <w:lang w:val="ru-RU"/>
        </w:rPr>
      </w:pPr>
      <w:r w:rsidRPr="005F36B9">
        <w:rPr>
          <w:spacing w:val="-4"/>
          <w:lang w:val="kk-KZ"/>
        </w:rPr>
        <w:t>содан кейін мынадай:</w:t>
      </w:r>
    </w:p>
    <w:p w:rsidR="0050122F" w:rsidRPr="005F36B9" w:rsidRDefault="0050122F" w:rsidP="0050122F">
      <w:pPr>
        <w:pStyle w:val="ac"/>
        <w:numPr>
          <w:ilvl w:val="0"/>
          <w:numId w:val="6"/>
        </w:numPr>
        <w:spacing w:before="0" w:beforeAutospacing="0" w:after="0" w:afterAutospacing="0"/>
        <w:jc w:val="both"/>
        <w:rPr>
          <w:spacing w:val="-4"/>
          <w:lang w:val="ru-RU"/>
        </w:rPr>
      </w:pPr>
      <w:r w:rsidRPr="005F36B9">
        <w:rPr>
          <w:spacing w:val="-4"/>
          <w:lang w:val="kk-KZ"/>
        </w:rPr>
        <w:t>паклитакселді емдеудің 4 циклі бойына әрбір 3 апта сайын 175 мг/м</w:t>
      </w:r>
      <w:r w:rsidRPr="005F36B9">
        <w:rPr>
          <w:spacing w:val="-4"/>
          <w:vertAlign w:val="superscript"/>
          <w:lang w:val="kk-KZ"/>
        </w:rPr>
        <w:t>2</w:t>
      </w:r>
      <w:r w:rsidRPr="005F36B9">
        <w:rPr>
          <w:spacing w:val="-4"/>
          <w:lang w:val="kk-KZ"/>
        </w:rPr>
        <w:t xml:space="preserve"> дозада енгізу орын алды;</w:t>
      </w:r>
    </w:p>
    <w:p w:rsidR="0050122F" w:rsidRPr="005F36B9" w:rsidRDefault="0050122F" w:rsidP="0050122F">
      <w:pPr>
        <w:pStyle w:val="ac"/>
        <w:spacing w:before="0" w:beforeAutospacing="0" w:after="0" w:afterAutospacing="0"/>
        <w:jc w:val="both"/>
        <w:rPr>
          <w:spacing w:val="-4"/>
          <w:lang w:val="ru-RU"/>
        </w:rPr>
      </w:pPr>
      <w:r w:rsidRPr="005F36B9">
        <w:rPr>
          <w:spacing w:val="-4"/>
          <w:lang w:val="kk-KZ"/>
        </w:rPr>
        <w:t>содан кейін мынадай:</w:t>
      </w:r>
    </w:p>
    <w:p w:rsidR="0050122F" w:rsidRPr="005F36B9" w:rsidRDefault="0050122F" w:rsidP="0050122F">
      <w:pPr>
        <w:pStyle w:val="ac"/>
        <w:numPr>
          <w:ilvl w:val="0"/>
          <w:numId w:val="6"/>
        </w:numPr>
        <w:spacing w:before="0" w:beforeAutospacing="0" w:after="0" w:afterAutospacing="0"/>
        <w:jc w:val="both"/>
        <w:rPr>
          <w:spacing w:val="-4"/>
          <w:lang w:val="ru-RU"/>
        </w:rPr>
      </w:pPr>
      <w:r w:rsidRPr="005F36B9">
        <w:rPr>
          <w:spacing w:val="-4"/>
          <w:lang w:val="kk-KZ"/>
        </w:rPr>
        <w:t>емнің 3 циклі бойы әрбір 4 апта сайын 1-ші күні және 8-ші күні CMF (циклофосфан, метотрексат, фторурацил) енгізу орын алды;</w:t>
      </w:r>
    </w:p>
    <w:p w:rsidR="0050122F" w:rsidRPr="005F36B9" w:rsidRDefault="0050122F" w:rsidP="0050122F">
      <w:pPr>
        <w:pStyle w:val="ac"/>
        <w:spacing w:before="0" w:beforeAutospacing="0" w:after="0" w:afterAutospacing="0"/>
        <w:jc w:val="both"/>
        <w:rPr>
          <w:spacing w:val="-4"/>
          <w:lang w:val="ru-RU"/>
        </w:rPr>
      </w:pPr>
      <w:r w:rsidRPr="005F36B9">
        <w:rPr>
          <w:spacing w:val="-4"/>
          <w:lang w:val="kk-KZ"/>
        </w:rPr>
        <w:t>содан кейін хирургиялық араласымнан кейін</w:t>
      </w:r>
    </w:p>
    <w:p w:rsidR="0050122F" w:rsidRPr="005F36B9" w:rsidRDefault="00177549" w:rsidP="00177549">
      <w:pPr>
        <w:pStyle w:val="ac"/>
        <w:numPr>
          <w:ilvl w:val="0"/>
          <w:numId w:val="6"/>
        </w:numPr>
        <w:spacing w:before="0" w:beforeAutospacing="0" w:after="0" w:afterAutospacing="0"/>
        <w:jc w:val="both"/>
        <w:rPr>
          <w:spacing w:val="-4"/>
          <w:lang w:val="ru-RU"/>
        </w:rPr>
      </w:pPr>
      <w:r w:rsidRPr="005F36B9">
        <w:rPr>
          <w:spacing w:val="-4"/>
          <w:lang w:val="kk-KZ"/>
        </w:rPr>
        <w:t xml:space="preserve">трастузумабпен </w:t>
      </w:r>
      <w:r w:rsidR="0050122F" w:rsidRPr="005F36B9">
        <w:rPr>
          <w:spacing w:val="-4"/>
          <w:lang w:val="kk-KZ"/>
        </w:rPr>
        <w:t>адъювантты емдеудің қосымша циклдары (ұзақтығы 1 жыл емдеу аяқталғанға дейін) орын алды.</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 xml:space="preserve">МО16432 зерттеу барысында </w:t>
      </w:r>
      <w:r w:rsidR="008911FB" w:rsidRPr="005F36B9">
        <w:rPr>
          <w:spacing w:val="-4"/>
          <w:lang w:val="kk-KZ"/>
        </w:rPr>
        <w:t xml:space="preserve">алынған тиімділік нәтижелері 11 </w:t>
      </w:r>
      <w:r w:rsidRPr="005F36B9">
        <w:rPr>
          <w:spacing w:val="-4"/>
          <w:lang w:val="kk-KZ"/>
        </w:rPr>
        <w:t xml:space="preserve">кестеде жалпыланған. </w:t>
      </w:r>
      <w:r w:rsidR="00177549" w:rsidRPr="005F36B9">
        <w:rPr>
          <w:spacing w:val="-4"/>
          <w:lang w:val="kk-KZ"/>
        </w:rPr>
        <w:t xml:space="preserve">Трастузумабты  </w:t>
      </w:r>
      <w:r w:rsidRPr="005F36B9">
        <w:rPr>
          <w:spacing w:val="-4"/>
          <w:lang w:val="kk-KZ"/>
        </w:rPr>
        <w:t>қолдану тобындағы кейінгі бақылау ұзақтығының медианасы 3.8 жылды құрады.</w:t>
      </w:r>
    </w:p>
    <w:p w:rsidR="0050122F" w:rsidRPr="005F36B9" w:rsidRDefault="0050122F" w:rsidP="0050122F">
      <w:pPr>
        <w:pStyle w:val="ac"/>
        <w:spacing w:before="0" w:beforeAutospacing="0" w:after="0" w:afterAutospacing="0"/>
        <w:jc w:val="both"/>
        <w:rPr>
          <w:spacing w:val="-4"/>
          <w:lang w:val="kk-KZ"/>
        </w:rPr>
      </w:pPr>
    </w:p>
    <w:p w:rsidR="0050122F" w:rsidRPr="005F36B9" w:rsidRDefault="008911FB" w:rsidP="0050122F">
      <w:pPr>
        <w:pStyle w:val="ac"/>
        <w:spacing w:before="0" w:beforeAutospacing="0" w:after="0" w:afterAutospacing="0"/>
        <w:jc w:val="both"/>
        <w:rPr>
          <w:b/>
          <w:spacing w:val="-4"/>
          <w:lang w:val="kk-KZ"/>
        </w:rPr>
      </w:pPr>
      <w:r w:rsidRPr="005F36B9">
        <w:rPr>
          <w:b/>
          <w:spacing w:val="-4"/>
          <w:lang w:val="kk-KZ"/>
        </w:rPr>
        <w:t xml:space="preserve">11 </w:t>
      </w:r>
      <w:r w:rsidR="0050122F" w:rsidRPr="005F36B9">
        <w:rPr>
          <w:b/>
          <w:spacing w:val="-4"/>
          <w:lang w:val="kk-KZ"/>
        </w:rPr>
        <w:t>кесте. МО16432 зерттеу барысында алынған тиімділік нәтижелері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1970"/>
        <w:gridCol w:w="1861"/>
        <w:gridCol w:w="2070"/>
      </w:tblGrid>
      <w:tr w:rsidR="0050122F" w:rsidRPr="005F36B9" w:rsidTr="0050122F">
        <w:tc>
          <w:tcPr>
            <w:tcW w:w="3274"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Параметр</w:t>
            </w:r>
          </w:p>
        </w:tc>
        <w:tc>
          <w:tcPr>
            <w:tcW w:w="1971"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Химиотерапия + </w:t>
            </w:r>
            <w:r w:rsidR="00177549" w:rsidRPr="005F36B9">
              <w:rPr>
                <w:spacing w:val="-4"/>
                <w:lang w:val="kk-KZ"/>
              </w:rPr>
              <w:t>трастузумаб</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(n=115)</w:t>
            </w:r>
          </w:p>
        </w:tc>
        <w:tc>
          <w:tcPr>
            <w:tcW w:w="1862"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Тек химиотерапия</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(n=116)</w:t>
            </w:r>
          </w:p>
        </w:tc>
        <w:tc>
          <w:tcPr>
            <w:tcW w:w="2073" w:type="dxa"/>
            <w:shd w:val="clear" w:color="auto" w:fill="auto"/>
          </w:tcPr>
          <w:p w:rsidR="0050122F" w:rsidRPr="005F36B9" w:rsidRDefault="0050122F" w:rsidP="0050122F">
            <w:pPr>
              <w:pStyle w:val="ac"/>
              <w:spacing w:before="0" w:beforeAutospacing="0" w:after="0" w:afterAutospacing="0"/>
              <w:jc w:val="center"/>
              <w:rPr>
                <w:spacing w:val="-4"/>
                <w:lang w:val="ru-RU"/>
              </w:rPr>
            </w:pPr>
          </w:p>
        </w:tc>
      </w:tr>
      <w:tr w:rsidR="0050122F" w:rsidRPr="005F36B9" w:rsidTr="0050122F">
        <w:tc>
          <w:tcPr>
            <w:tcW w:w="3274" w:type="dxa"/>
            <w:shd w:val="clear" w:color="auto" w:fill="auto"/>
          </w:tcPr>
          <w:p w:rsidR="0050122F" w:rsidRPr="005F36B9" w:rsidRDefault="0050122F" w:rsidP="0050122F">
            <w:pPr>
              <w:pStyle w:val="ac"/>
              <w:spacing w:before="0" w:beforeAutospacing="0" w:after="0" w:afterAutospacing="0"/>
              <w:rPr>
                <w:spacing w:val="-4"/>
              </w:rPr>
            </w:pPr>
            <w:r w:rsidRPr="005F36B9">
              <w:rPr>
                <w:spacing w:val="-4"/>
                <w:lang w:val="kk-KZ"/>
              </w:rPr>
              <w:t>Оқиғасыз өміршеңдік</w:t>
            </w:r>
          </w:p>
          <w:p w:rsidR="0050122F" w:rsidRPr="005F36B9" w:rsidRDefault="0050122F" w:rsidP="0050122F">
            <w:pPr>
              <w:pStyle w:val="ac"/>
              <w:spacing w:before="0" w:beforeAutospacing="0" w:after="0" w:afterAutospacing="0"/>
              <w:rPr>
                <w:b/>
                <w:spacing w:val="-4"/>
              </w:rPr>
            </w:pPr>
            <w:r w:rsidRPr="005F36B9">
              <w:rPr>
                <w:spacing w:val="-4"/>
                <w:lang w:val="kk-KZ"/>
              </w:rPr>
              <w:t>Оқиғасымен пациенттер саны</w:t>
            </w:r>
          </w:p>
        </w:tc>
        <w:tc>
          <w:tcPr>
            <w:tcW w:w="1971" w:type="dxa"/>
            <w:shd w:val="clear" w:color="auto" w:fill="auto"/>
          </w:tcPr>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46 </w:t>
            </w:r>
          </w:p>
        </w:tc>
        <w:tc>
          <w:tcPr>
            <w:tcW w:w="1862" w:type="dxa"/>
            <w:shd w:val="clear" w:color="auto" w:fill="auto"/>
          </w:tcPr>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59 </w:t>
            </w:r>
          </w:p>
        </w:tc>
        <w:tc>
          <w:tcPr>
            <w:tcW w:w="2073" w:type="dxa"/>
            <w:shd w:val="clear" w:color="auto" w:fill="auto"/>
          </w:tcPr>
          <w:p w:rsidR="0050122F" w:rsidRPr="005F36B9" w:rsidRDefault="0050122F" w:rsidP="0050122F">
            <w:pPr>
              <w:pStyle w:val="Default"/>
              <w:jc w:val="center"/>
              <w:rPr>
                <w:color w:val="auto"/>
                <w:spacing w:val="-4"/>
              </w:rPr>
            </w:pPr>
            <w:r w:rsidRPr="005F36B9">
              <w:rPr>
                <w:color w:val="auto"/>
                <w:spacing w:val="-4"/>
                <w:lang w:val="kk-KZ"/>
              </w:rPr>
              <w:t xml:space="preserve">ҚҚ (95% СА) </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0.65 (0.44, 0.96) p=0.0275 </w:t>
            </w:r>
          </w:p>
        </w:tc>
      </w:tr>
      <w:tr w:rsidR="0050122F" w:rsidRPr="005F36B9" w:rsidTr="0050122F">
        <w:tc>
          <w:tcPr>
            <w:tcW w:w="3274" w:type="dxa"/>
            <w:shd w:val="clear" w:color="auto" w:fill="auto"/>
          </w:tcPr>
          <w:p w:rsidR="0050122F" w:rsidRPr="005F36B9" w:rsidRDefault="0050122F" w:rsidP="0050122F">
            <w:pPr>
              <w:pStyle w:val="ac"/>
              <w:spacing w:before="0" w:beforeAutospacing="0" w:after="0" w:afterAutospacing="0"/>
              <w:rPr>
                <w:b/>
                <w:spacing w:val="-4"/>
                <w:lang w:val="ru-RU"/>
              </w:rPr>
            </w:pPr>
            <w:r w:rsidRPr="005F36B9">
              <w:rPr>
                <w:spacing w:val="-4"/>
                <w:lang w:val="kk-KZ"/>
              </w:rPr>
              <w:t>Жалпы патоморфологиялық толық жауап* (95% СА)</w:t>
            </w:r>
          </w:p>
        </w:tc>
        <w:tc>
          <w:tcPr>
            <w:tcW w:w="1971"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40% </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(31.0, 49.6) </w:t>
            </w:r>
          </w:p>
        </w:tc>
        <w:tc>
          <w:tcPr>
            <w:tcW w:w="1862"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20.7% </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(13.7, 29.2) </w:t>
            </w:r>
          </w:p>
        </w:tc>
        <w:tc>
          <w:tcPr>
            <w:tcW w:w="2073"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p=0.0014 </w:t>
            </w:r>
          </w:p>
        </w:tc>
      </w:tr>
      <w:tr w:rsidR="0050122F" w:rsidRPr="005F36B9" w:rsidTr="0050122F">
        <w:tc>
          <w:tcPr>
            <w:tcW w:w="3274" w:type="dxa"/>
            <w:shd w:val="clear" w:color="auto" w:fill="auto"/>
          </w:tcPr>
          <w:p w:rsidR="0050122F" w:rsidRPr="005F36B9" w:rsidRDefault="0050122F" w:rsidP="0050122F">
            <w:pPr>
              <w:pStyle w:val="ac"/>
              <w:spacing w:before="0" w:beforeAutospacing="0" w:after="0" w:afterAutospacing="0"/>
              <w:rPr>
                <w:spacing w:val="-4"/>
              </w:rPr>
            </w:pPr>
            <w:r w:rsidRPr="005F36B9">
              <w:rPr>
                <w:spacing w:val="-4"/>
                <w:lang w:val="kk-KZ"/>
              </w:rPr>
              <w:t>Жалпы өміршеңдік</w:t>
            </w:r>
          </w:p>
          <w:p w:rsidR="0050122F" w:rsidRPr="005F36B9" w:rsidRDefault="0050122F" w:rsidP="0050122F">
            <w:pPr>
              <w:pStyle w:val="ac"/>
              <w:spacing w:before="0" w:beforeAutospacing="0" w:after="0" w:afterAutospacing="0"/>
              <w:rPr>
                <w:spacing w:val="-4"/>
              </w:rPr>
            </w:pPr>
            <w:r w:rsidRPr="005F36B9">
              <w:rPr>
                <w:spacing w:val="-4"/>
                <w:lang w:val="kk-KZ"/>
              </w:rPr>
              <w:t>Оқиғасымен пациенттер саны</w:t>
            </w:r>
          </w:p>
        </w:tc>
        <w:tc>
          <w:tcPr>
            <w:tcW w:w="1971" w:type="dxa"/>
            <w:shd w:val="clear" w:color="auto" w:fill="auto"/>
          </w:tcPr>
          <w:p w:rsidR="0050122F" w:rsidRPr="005F36B9" w:rsidRDefault="0050122F" w:rsidP="0050122F">
            <w:pPr>
              <w:pStyle w:val="ac"/>
              <w:spacing w:before="0" w:beforeAutospacing="0" w:after="0" w:afterAutospacing="0"/>
              <w:jc w:val="center"/>
              <w:rPr>
                <w:spacing w:val="-4"/>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22 </w:t>
            </w:r>
          </w:p>
        </w:tc>
        <w:tc>
          <w:tcPr>
            <w:tcW w:w="1862" w:type="dxa"/>
            <w:shd w:val="clear" w:color="auto" w:fill="auto"/>
          </w:tcPr>
          <w:p w:rsidR="0050122F" w:rsidRPr="005F36B9" w:rsidRDefault="0050122F" w:rsidP="0050122F">
            <w:pPr>
              <w:pStyle w:val="ac"/>
              <w:spacing w:before="0" w:beforeAutospacing="0" w:after="0" w:afterAutospacing="0"/>
              <w:jc w:val="center"/>
              <w:rPr>
                <w:spacing w:val="-4"/>
                <w:lang w:val="ru-RU"/>
              </w:rPr>
            </w:pP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33 </w:t>
            </w:r>
          </w:p>
        </w:tc>
        <w:tc>
          <w:tcPr>
            <w:tcW w:w="2073" w:type="dxa"/>
            <w:shd w:val="clear" w:color="auto" w:fill="auto"/>
          </w:tcPr>
          <w:p w:rsidR="0050122F" w:rsidRPr="005F36B9" w:rsidRDefault="0050122F" w:rsidP="0050122F">
            <w:pPr>
              <w:pStyle w:val="Default"/>
              <w:jc w:val="center"/>
              <w:rPr>
                <w:color w:val="auto"/>
                <w:spacing w:val="-4"/>
              </w:rPr>
            </w:pPr>
            <w:r w:rsidRPr="005F36B9">
              <w:rPr>
                <w:color w:val="auto"/>
                <w:spacing w:val="-4"/>
                <w:lang w:val="kk-KZ"/>
              </w:rPr>
              <w:t xml:space="preserve">ҚҚ (95% СА) </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0.59 (0.35, 1.02) p=0.0555 </w:t>
            </w:r>
          </w:p>
        </w:tc>
      </w:tr>
    </w:tbl>
    <w:p w:rsidR="0050122F" w:rsidRPr="005F36B9" w:rsidRDefault="0050122F" w:rsidP="0050122F">
      <w:pPr>
        <w:pStyle w:val="ac"/>
        <w:spacing w:before="0" w:beforeAutospacing="0" w:after="0" w:afterAutospacing="0"/>
        <w:jc w:val="both"/>
        <w:rPr>
          <w:spacing w:val="-4"/>
        </w:rPr>
      </w:pPr>
      <w:r w:rsidRPr="005F36B9">
        <w:rPr>
          <w:spacing w:val="-4"/>
          <w:lang w:val="kk-KZ"/>
        </w:rPr>
        <w:t>* сүт безінде және қолтықасты лимфа түйіндерінде инвазивті ісіктің болмауы ретінде анықталады.</w:t>
      </w:r>
    </w:p>
    <w:p w:rsidR="0050122F" w:rsidRPr="005F36B9" w:rsidRDefault="0050122F" w:rsidP="0050122F">
      <w:pPr>
        <w:pStyle w:val="ac"/>
        <w:spacing w:before="0" w:beforeAutospacing="0" w:after="0" w:afterAutospacing="0"/>
        <w:jc w:val="both"/>
        <w:rPr>
          <w:spacing w:val="-4"/>
        </w:rPr>
      </w:pPr>
    </w:p>
    <w:p w:rsidR="0050122F" w:rsidRPr="005F36B9" w:rsidRDefault="0050122F" w:rsidP="0050122F">
      <w:pPr>
        <w:pStyle w:val="ac"/>
        <w:spacing w:before="0" w:beforeAutospacing="0" w:after="0" w:afterAutospacing="0"/>
        <w:jc w:val="both"/>
        <w:rPr>
          <w:spacing w:val="-4"/>
        </w:rPr>
      </w:pPr>
      <w:r w:rsidRPr="005F36B9">
        <w:rPr>
          <w:spacing w:val="-4"/>
          <w:lang w:val="kk-KZ"/>
        </w:rPr>
        <w:t xml:space="preserve">3 жылдық өміршеңдік көрсеткішін талдау кезінде </w:t>
      </w:r>
      <w:r w:rsidR="00456148" w:rsidRPr="005F36B9">
        <w:rPr>
          <w:spacing w:val="-4"/>
          <w:lang w:val="kk-KZ"/>
        </w:rPr>
        <w:t>трастузумабпен</w:t>
      </w:r>
      <w:r w:rsidRPr="005F36B9">
        <w:rPr>
          <w:spacing w:val="-4"/>
          <w:lang w:val="kk-KZ"/>
        </w:rPr>
        <w:t xml:space="preserve"> емдеудің абсолютті артықшылығы 13%-ға (52%-бен салыстырғанда 65%) анықталды.</w:t>
      </w:r>
    </w:p>
    <w:p w:rsidR="0050122F" w:rsidRPr="005F36B9" w:rsidRDefault="0050122F" w:rsidP="0050122F">
      <w:pPr>
        <w:pStyle w:val="ac"/>
        <w:spacing w:before="0" w:beforeAutospacing="0" w:after="0" w:afterAutospacing="0"/>
        <w:rPr>
          <w:i/>
          <w:spacing w:val="-4"/>
          <w:lang w:eastAsia="ja-JP"/>
        </w:rPr>
      </w:pPr>
      <w:r w:rsidRPr="005F36B9">
        <w:rPr>
          <w:i/>
          <w:spacing w:val="-4"/>
          <w:lang w:val="kk-KZ" w:eastAsia="ja-JP"/>
        </w:rPr>
        <w:t>Препараттың тері астына енгізуге арналған дәрілік түрі</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Фармакокинетиканы (ФК) және тиімділікті (C</w:t>
      </w:r>
      <w:r w:rsidRPr="005F36B9">
        <w:rPr>
          <w:spacing w:val="-4"/>
          <w:vertAlign w:val="subscript"/>
          <w:lang w:val="kk-KZ"/>
        </w:rPr>
        <w:t>trough</w:t>
      </w:r>
      <w:r w:rsidRPr="005F36B9">
        <w:rPr>
          <w:spacing w:val="-4"/>
          <w:lang w:val="kk-KZ"/>
        </w:rPr>
        <w:t xml:space="preserve"> 8 циклде дозаны енгізер алдында және тиісінше радикальді хирургиялық араласым мезетіндегі pCR) бағалау үшін біріктірілген бастапқы ақырғы нүктелері айқындалған ВО22227 зерттеуінің дизайны вена ішіне енгізуге арналған дәрілік түрімен салыстырғанда тері астына енгізуге арналған </w:t>
      </w:r>
      <w:r w:rsidR="00BF1259" w:rsidRPr="005F36B9">
        <w:rPr>
          <w:spacing w:val="-4"/>
          <w:lang w:val="kk-KZ"/>
        </w:rPr>
        <w:t xml:space="preserve">дәрілік түрдегі </w:t>
      </w:r>
      <w:r w:rsidR="00456148" w:rsidRPr="005F36B9">
        <w:rPr>
          <w:spacing w:val="-4"/>
          <w:lang w:val="kk-KZ"/>
        </w:rPr>
        <w:t>трастузумабпен</w:t>
      </w:r>
      <w:r w:rsidRPr="005F36B9">
        <w:rPr>
          <w:spacing w:val="-4"/>
          <w:lang w:val="kk-KZ"/>
        </w:rPr>
        <w:t xml:space="preserve"> жүргізілген емнің тиімділігі кем емес екенін дәлелді растау мақсатында әзірленген. Жалпы алғанда, қабыну түрлерін қоса алғанда, HER2-оң, операция жасауға болатын немесе жергілікті таралған СБО-ға шалдыққан 595 пациент венаішілік енгізуге арналған </w:t>
      </w:r>
      <w:r w:rsidR="00BF1259" w:rsidRPr="005F36B9">
        <w:rPr>
          <w:spacing w:val="-4"/>
          <w:lang w:val="kk-KZ"/>
        </w:rPr>
        <w:t xml:space="preserve">дәрілік түрдегі </w:t>
      </w:r>
      <w:r w:rsidR="00456148" w:rsidRPr="005F36B9">
        <w:rPr>
          <w:spacing w:val="-4"/>
          <w:lang w:val="kk-KZ"/>
        </w:rPr>
        <w:t xml:space="preserve">трастузумабпен </w:t>
      </w:r>
      <w:r w:rsidRPr="005F36B9">
        <w:rPr>
          <w:spacing w:val="-4"/>
          <w:lang w:val="kk-KZ"/>
        </w:rPr>
        <w:t xml:space="preserve">немесе химиотерапиямен бірге тері астына енгізуге арналған </w:t>
      </w:r>
      <w:r w:rsidR="00BF1259" w:rsidRPr="005F36B9">
        <w:rPr>
          <w:spacing w:val="-4"/>
          <w:lang w:val="kk-KZ"/>
        </w:rPr>
        <w:t xml:space="preserve">дәрілік түрдегі </w:t>
      </w:r>
      <w:r w:rsidR="00456148" w:rsidRPr="005F36B9">
        <w:rPr>
          <w:spacing w:val="-4"/>
          <w:lang w:val="kk-KZ"/>
        </w:rPr>
        <w:t>трастузумабпен</w:t>
      </w:r>
      <w:r w:rsidRPr="005F36B9">
        <w:rPr>
          <w:spacing w:val="-4"/>
          <w:lang w:val="kk-KZ"/>
        </w:rPr>
        <w:t xml:space="preserve"> емдеудің 8 циклынан алды (вена ішіне инфузия түрінде 75 мг/м</w:t>
      </w:r>
      <w:r w:rsidRPr="005F36B9">
        <w:rPr>
          <w:spacing w:val="-4"/>
          <w:vertAlign w:val="superscript"/>
          <w:lang w:val="kk-KZ"/>
        </w:rPr>
        <w:t>2</w:t>
      </w:r>
      <w:r w:rsidRPr="005F36B9">
        <w:rPr>
          <w:spacing w:val="-4"/>
          <w:lang w:val="kk-KZ"/>
        </w:rPr>
        <w:t xml:space="preserve"> дозада доцетакселдің 4 циклы, содан кейін 4 цикл FEC (500 мг/м</w:t>
      </w:r>
      <w:r w:rsidRPr="005F36B9">
        <w:rPr>
          <w:spacing w:val="-4"/>
          <w:vertAlign w:val="superscript"/>
          <w:lang w:val="kk-KZ"/>
        </w:rPr>
        <w:t>2</w:t>
      </w:r>
      <w:r w:rsidRPr="005F36B9">
        <w:rPr>
          <w:spacing w:val="-4"/>
          <w:lang w:val="kk-KZ"/>
        </w:rPr>
        <w:t xml:space="preserve"> дозада 5-фторурацил, 75 мг/м</w:t>
      </w:r>
      <w:r w:rsidRPr="005F36B9">
        <w:rPr>
          <w:spacing w:val="-4"/>
          <w:vertAlign w:val="superscript"/>
          <w:lang w:val="kk-KZ"/>
        </w:rPr>
        <w:t>2</w:t>
      </w:r>
      <w:r w:rsidRPr="005F36B9">
        <w:rPr>
          <w:spacing w:val="-4"/>
          <w:lang w:val="kk-KZ"/>
        </w:rPr>
        <w:t xml:space="preserve"> дозада эпирубицин, вена ішіне сорғалатып немесе инфузия түрінде 500 мг/м</w:t>
      </w:r>
      <w:r w:rsidRPr="005F36B9">
        <w:rPr>
          <w:spacing w:val="-4"/>
          <w:vertAlign w:val="superscript"/>
          <w:lang w:val="kk-KZ"/>
        </w:rPr>
        <w:t>2</w:t>
      </w:r>
      <w:r w:rsidRPr="005F36B9">
        <w:rPr>
          <w:spacing w:val="-4"/>
          <w:lang w:val="kk-KZ"/>
        </w:rPr>
        <w:t xml:space="preserve"> дозада циклофосфамид) содан кейін хирургиялық араласым, одан әрі - бастапқы рандомизацияға байланысты вена ішіне немесе тері астына енгізуге арналған </w:t>
      </w:r>
      <w:r w:rsidR="00BF1259" w:rsidRPr="005F36B9">
        <w:rPr>
          <w:spacing w:val="-4"/>
          <w:lang w:val="kk-KZ"/>
        </w:rPr>
        <w:t xml:space="preserve">дәрілік түрдегі </w:t>
      </w:r>
      <w:r w:rsidR="00546C96" w:rsidRPr="005F36B9">
        <w:rPr>
          <w:spacing w:val="-4"/>
          <w:lang w:val="kk-KZ"/>
        </w:rPr>
        <w:t>трастузумабпен</w:t>
      </w:r>
      <w:r w:rsidRPr="005F36B9">
        <w:rPr>
          <w:spacing w:val="-4"/>
          <w:lang w:val="kk-KZ"/>
        </w:rPr>
        <w:t xml:space="preserve"> жалпы алғанда, 1 жыл бойы 10 қосымша цикл бойы емдеу жүргізілді.</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lastRenderedPageBreak/>
        <w:t xml:space="preserve">Тиімділікті бағалаудың біріктірілген бастапқы ақырғы нүктесін талдау нәтижесінде сүт безінде инвазивтік ісік жасушаларының болмауы ретінде айқындалатын pCR көрсеткіші вена ішіне енгізуге арналған </w:t>
      </w:r>
      <w:r w:rsidR="00BF1259" w:rsidRPr="005F36B9">
        <w:rPr>
          <w:spacing w:val="-4"/>
          <w:lang w:val="kk-KZ"/>
        </w:rPr>
        <w:t xml:space="preserve">дәрілік түрдегі </w:t>
      </w:r>
      <w:r w:rsidR="00546C96" w:rsidRPr="005F36B9">
        <w:rPr>
          <w:spacing w:val="-4"/>
          <w:lang w:val="kk-KZ"/>
        </w:rPr>
        <w:t xml:space="preserve">трастузумаб </w:t>
      </w:r>
      <w:r w:rsidRPr="005F36B9">
        <w:rPr>
          <w:spacing w:val="-4"/>
          <w:lang w:val="kk-KZ"/>
        </w:rPr>
        <w:t xml:space="preserve">тобында 40.7%-ды (95% СА: 34.7, 46.9) және тері астына енгізуге арналған </w:t>
      </w:r>
      <w:r w:rsidR="00BF1259" w:rsidRPr="005F36B9">
        <w:rPr>
          <w:spacing w:val="-4"/>
          <w:lang w:val="kk-KZ"/>
        </w:rPr>
        <w:t xml:space="preserve">дәрілік түрдегі </w:t>
      </w:r>
      <w:r w:rsidRPr="005F36B9">
        <w:rPr>
          <w:spacing w:val="-4"/>
          <w:lang w:val="kk-KZ"/>
        </w:rPr>
        <w:t xml:space="preserve">Герцептин препараты тобында 45.4%-ды (95% СА: 39.2%, 51.7%) құрады (тері астына енгізу тобының пайдасына 4.7% айырмашылық). pCR көрсеткіштеріндегі айырмашылық үшін 97.5% сенімді аралығының төменгі шегі </w:t>
      </w:r>
      <w:r w:rsidR="005E328A" w:rsidRPr="005F36B9">
        <w:rPr>
          <w:spacing w:val="-4"/>
          <w:lang w:val="kk-KZ"/>
        </w:rPr>
        <w:t xml:space="preserve">біріктірілген бастапқы ақырғы нүктеге қатысты тері астына енгізуге арналған дәрілік түрдегі трастузумабтың </w:t>
      </w:r>
      <w:r w:rsidR="005E328A" w:rsidRPr="005F36B9">
        <w:rPr>
          <w:spacing w:val="-4"/>
          <w:lang w:val="kk-KZ"/>
        </w:rPr>
        <w:t xml:space="preserve">кем болмайтын </w:t>
      </w:r>
      <w:r w:rsidR="005E328A" w:rsidRPr="005F36B9">
        <w:rPr>
          <w:spacing w:val="-4"/>
          <w:lang w:val="kk-KZ"/>
        </w:rPr>
        <w:t>тиімділігі</w:t>
      </w:r>
      <w:r w:rsidR="005E328A" w:rsidRPr="005F36B9">
        <w:rPr>
          <w:spacing w:val="-4"/>
          <w:lang w:val="kk-KZ"/>
        </w:rPr>
        <w:t xml:space="preserve">н </w:t>
      </w:r>
      <w:r w:rsidR="005E328A" w:rsidRPr="005F36B9">
        <w:rPr>
          <w:spacing w:val="-4"/>
          <w:lang w:val="kk-KZ"/>
        </w:rPr>
        <w:t>анықта</w:t>
      </w:r>
      <w:r w:rsidR="005E328A" w:rsidRPr="005F36B9">
        <w:rPr>
          <w:spacing w:val="-4"/>
          <w:lang w:val="kk-KZ"/>
        </w:rPr>
        <w:t>п, 4.0 болды.</w:t>
      </w:r>
      <w:r w:rsidRPr="005F36B9">
        <w:rPr>
          <w:spacing w:val="-4"/>
          <w:lang w:val="kk-KZ"/>
        </w:rPr>
        <w:t xml:space="preserve"> </w:t>
      </w:r>
    </w:p>
    <w:p w:rsidR="0050122F" w:rsidRPr="005F36B9" w:rsidRDefault="0050122F" w:rsidP="0050122F">
      <w:pPr>
        <w:pStyle w:val="ac"/>
        <w:spacing w:before="0" w:beforeAutospacing="0" w:after="0" w:afterAutospacing="0"/>
        <w:jc w:val="both"/>
        <w:rPr>
          <w:spacing w:val="-4"/>
          <w:lang w:val="kk-KZ"/>
        </w:rPr>
      </w:pPr>
    </w:p>
    <w:p w:rsidR="0050122F" w:rsidRPr="005F36B9" w:rsidRDefault="0050122F" w:rsidP="0050122F">
      <w:pPr>
        <w:pStyle w:val="ac"/>
        <w:spacing w:before="0" w:beforeAutospacing="0" w:after="0" w:afterAutospacing="0"/>
        <w:jc w:val="both"/>
        <w:rPr>
          <w:b/>
          <w:spacing w:val="-4"/>
          <w:lang w:val="kk-KZ"/>
        </w:rPr>
      </w:pPr>
      <w:r w:rsidRPr="005F36B9">
        <w:rPr>
          <w:b/>
          <w:spacing w:val="-4"/>
          <w:lang w:val="kk-KZ"/>
        </w:rPr>
        <w:t>12-кесте. Толық патоморфологиялық жауап бойынша жалпыланған деректер (pCR)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1985"/>
        <w:gridCol w:w="2097"/>
      </w:tblGrid>
      <w:tr w:rsidR="0050122F" w:rsidRPr="005F36B9" w:rsidTr="0050122F">
        <w:tc>
          <w:tcPr>
            <w:tcW w:w="4990" w:type="dxa"/>
            <w:shd w:val="clear" w:color="auto" w:fill="auto"/>
          </w:tcPr>
          <w:p w:rsidR="0050122F" w:rsidRPr="005F36B9" w:rsidRDefault="0050122F" w:rsidP="0050122F">
            <w:pPr>
              <w:pStyle w:val="ac"/>
              <w:spacing w:before="0" w:beforeAutospacing="0" w:after="0" w:afterAutospacing="0"/>
              <w:jc w:val="both"/>
              <w:rPr>
                <w:b/>
                <w:spacing w:val="-4"/>
                <w:lang w:val="kk-KZ"/>
              </w:rPr>
            </w:pPr>
          </w:p>
        </w:tc>
        <w:tc>
          <w:tcPr>
            <w:tcW w:w="1985" w:type="dxa"/>
            <w:shd w:val="clear" w:color="auto" w:fill="auto"/>
            <w:vAlign w:val="center"/>
          </w:tcPr>
          <w:p w:rsidR="0050122F" w:rsidRPr="005F36B9" w:rsidRDefault="00546C96" w:rsidP="0050122F">
            <w:pPr>
              <w:pStyle w:val="ac"/>
              <w:spacing w:before="0" w:beforeAutospacing="0" w:after="0" w:afterAutospacing="0"/>
              <w:jc w:val="center"/>
              <w:rPr>
                <w:spacing w:val="-4"/>
                <w:lang w:val="ru-RU"/>
              </w:rPr>
            </w:pPr>
            <w:r w:rsidRPr="005F36B9">
              <w:rPr>
                <w:spacing w:val="-4"/>
                <w:lang w:val="kk-KZ"/>
              </w:rPr>
              <w:t>трастузумаб</w:t>
            </w:r>
            <w:r w:rsidR="0050122F" w:rsidRPr="005F36B9">
              <w:rPr>
                <w:spacing w:val="-4"/>
                <w:lang w:val="kk-KZ"/>
              </w:rPr>
              <w:t xml:space="preserve"> в/і</w:t>
            </w:r>
            <w:r w:rsidR="0050122F" w:rsidRPr="005F36B9">
              <w:rPr>
                <w:spacing w:val="-4"/>
                <w:lang w:val="kk-KZ"/>
              </w:rPr>
              <w:br/>
              <w:t>(N=263)</w:t>
            </w:r>
          </w:p>
        </w:tc>
        <w:tc>
          <w:tcPr>
            <w:tcW w:w="2097" w:type="dxa"/>
            <w:shd w:val="clear" w:color="auto" w:fill="auto"/>
            <w:vAlign w:val="center"/>
          </w:tcPr>
          <w:p w:rsidR="0050122F" w:rsidRPr="005F36B9" w:rsidRDefault="00546C96" w:rsidP="0050122F">
            <w:pPr>
              <w:pStyle w:val="ac"/>
              <w:spacing w:before="0" w:beforeAutospacing="0" w:after="0" w:afterAutospacing="0"/>
              <w:jc w:val="center"/>
              <w:rPr>
                <w:spacing w:val="-4"/>
                <w:lang w:val="ru-RU"/>
              </w:rPr>
            </w:pPr>
            <w:r w:rsidRPr="005F36B9">
              <w:rPr>
                <w:spacing w:val="-4"/>
                <w:lang w:val="kk-KZ"/>
              </w:rPr>
              <w:t>трастузумаб</w:t>
            </w:r>
            <w:r w:rsidR="0050122F" w:rsidRPr="005F36B9">
              <w:rPr>
                <w:spacing w:val="-4"/>
                <w:lang w:val="kk-KZ"/>
              </w:rPr>
              <w:t xml:space="preserve"> т/а</w:t>
            </w:r>
            <w:r w:rsidR="0050122F" w:rsidRPr="005F36B9">
              <w:rPr>
                <w:spacing w:val="-4"/>
                <w:lang w:val="kk-KZ"/>
              </w:rPr>
              <w:br/>
              <w:t>(N=260)</w:t>
            </w:r>
          </w:p>
        </w:tc>
      </w:tr>
      <w:tr w:rsidR="0050122F" w:rsidRPr="005F36B9" w:rsidTr="0050122F">
        <w:trPr>
          <w:trHeight w:val="621"/>
        </w:trPr>
        <w:tc>
          <w:tcPr>
            <w:tcW w:w="4990" w:type="dxa"/>
            <w:shd w:val="clear" w:color="auto" w:fill="auto"/>
          </w:tcPr>
          <w:p w:rsidR="0050122F" w:rsidRPr="005F36B9" w:rsidRDefault="0050122F" w:rsidP="0050122F">
            <w:pPr>
              <w:pStyle w:val="ac"/>
              <w:spacing w:before="0" w:beforeAutospacing="0" w:after="0" w:afterAutospacing="0"/>
              <w:jc w:val="both"/>
              <w:rPr>
                <w:b/>
                <w:spacing w:val="-4"/>
              </w:rPr>
            </w:pPr>
            <w:r w:rsidRPr="005F36B9">
              <w:rPr>
                <w:spacing w:val="-4"/>
                <w:lang w:val="kk-KZ"/>
              </w:rPr>
              <w:t>pCR (сүт безінің тінінде инвазивті ісік жасушаларының болмауы)</w:t>
            </w:r>
          </w:p>
        </w:tc>
        <w:tc>
          <w:tcPr>
            <w:tcW w:w="1985"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107 (40.7%)</w:t>
            </w:r>
          </w:p>
        </w:tc>
        <w:tc>
          <w:tcPr>
            <w:tcW w:w="2097"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118 (45.4%)</w:t>
            </w:r>
          </w:p>
        </w:tc>
      </w:tr>
      <w:tr w:rsidR="0050122F" w:rsidRPr="005F36B9" w:rsidTr="0050122F">
        <w:tc>
          <w:tcPr>
            <w:tcW w:w="4990" w:type="dxa"/>
            <w:shd w:val="clear" w:color="auto" w:fill="auto"/>
          </w:tcPr>
          <w:p w:rsidR="0050122F" w:rsidRPr="005F36B9" w:rsidRDefault="0050122F" w:rsidP="0050122F">
            <w:pPr>
              <w:pStyle w:val="ac"/>
              <w:spacing w:before="0" w:beforeAutospacing="0" w:after="0" w:afterAutospacing="0"/>
              <w:ind w:left="306"/>
              <w:jc w:val="both"/>
              <w:rPr>
                <w:spacing w:val="-4"/>
                <w:lang w:val="ru-RU"/>
              </w:rPr>
            </w:pPr>
            <w:r w:rsidRPr="005F36B9">
              <w:rPr>
                <w:spacing w:val="-4"/>
                <w:lang w:val="kk-KZ"/>
              </w:rPr>
              <w:t>Клиникалық жауабы жоқ пациенттер</w:t>
            </w:r>
          </w:p>
        </w:tc>
        <w:tc>
          <w:tcPr>
            <w:tcW w:w="1985"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156 (59.3%)</w:t>
            </w:r>
          </w:p>
        </w:tc>
        <w:tc>
          <w:tcPr>
            <w:tcW w:w="2097"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142 (54.6%)</w:t>
            </w:r>
          </w:p>
        </w:tc>
      </w:tr>
      <w:tr w:rsidR="0050122F" w:rsidRPr="005F36B9" w:rsidTr="0050122F">
        <w:tc>
          <w:tcPr>
            <w:tcW w:w="4990" w:type="dxa"/>
            <w:shd w:val="clear" w:color="auto" w:fill="auto"/>
          </w:tcPr>
          <w:p w:rsidR="0050122F" w:rsidRPr="005F36B9" w:rsidRDefault="0050122F" w:rsidP="0050122F">
            <w:pPr>
              <w:pStyle w:val="ac"/>
              <w:spacing w:before="0" w:beforeAutospacing="0" w:after="0" w:afterAutospacing="0"/>
              <w:ind w:left="589"/>
              <w:jc w:val="both"/>
              <w:rPr>
                <w:spacing w:val="-4"/>
                <w:lang w:val="ru-RU"/>
              </w:rPr>
            </w:pPr>
            <w:r w:rsidRPr="005F36B9">
              <w:rPr>
                <w:spacing w:val="-4"/>
                <w:lang w:val="kk-KZ"/>
              </w:rPr>
              <w:t>pCR үшін дәл 95% СА*</w:t>
            </w:r>
          </w:p>
        </w:tc>
        <w:tc>
          <w:tcPr>
            <w:tcW w:w="1985"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(34.7; 46.9) </w:t>
            </w:r>
          </w:p>
        </w:tc>
        <w:tc>
          <w:tcPr>
            <w:tcW w:w="2097" w:type="dxa"/>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(39.2; 51.7) </w:t>
            </w:r>
          </w:p>
        </w:tc>
      </w:tr>
      <w:tr w:rsidR="0050122F" w:rsidRPr="005F36B9" w:rsidTr="0050122F">
        <w:tc>
          <w:tcPr>
            <w:tcW w:w="4990" w:type="dxa"/>
            <w:shd w:val="clear" w:color="auto" w:fill="auto"/>
          </w:tcPr>
          <w:p w:rsidR="0050122F" w:rsidRPr="005F36B9" w:rsidRDefault="0050122F" w:rsidP="0050122F">
            <w:pPr>
              <w:pStyle w:val="ac"/>
              <w:spacing w:before="0" w:beforeAutospacing="0" w:after="0" w:afterAutospacing="0"/>
              <w:ind w:left="589"/>
              <w:jc w:val="both"/>
              <w:rPr>
                <w:spacing w:val="-4"/>
                <w:lang w:val="ru-RU"/>
              </w:rPr>
            </w:pPr>
            <w:r w:rsidRPr="005F36B9">
              <w:rPr>
                <w:spacing w:val="-4"/>
                <w:lang w:val="kk-KZ"/>
              </w:rPr>
              <w:t>pCR айырмашылығы (т/а минус в/і)</w:t>
            </w:r>
          </w:p>
        </w:tc>
        <w:tc>
          <w:tcPr>
            <w:tcW w:w="4082" w:type="dxa"/>
            <w:gridSpan w:val="2"/>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4.70 </w:t>
            </w:r>
          </w:p>
        </w:tc>
      </w:tr>
      <w:tr w:rsidR="0050122F" w:rsidRPr="005F36B9" w:rsidTr="0050122F">
        <w:tc>
          <w:tcPr>
            <w:tcW w:w="4990" w:type="dxa"/>
            <w:shd w:val="clear" w:color="auto" w:fill="auto"/>
          </w:tcPr>
          <w:p w:rsidR="0050122F" w:rsidRPr="005F36B9" w:rsidRDefault="0050122F" w:rsidP="0050122F">
            <w:pPr>
              <w:pStyle w:val="ac"/>
              <w:spacing w:before="0" w:beforeAutospacing="0" w:after="0" w:afterAutospacing="0"/>
              <w:ind w:left="589"/>
              <w:jc w:val="both"/>
              <w:rPr>
                <w:spacing w:val="-4"/>
              </w:rPr>
            </w:pPr>
            <w:r w:rsidRPr="005F36B9">
              <w:rPr>
                <w:spacing w:val="-4"/>
                <w:lang w:val="kk-KZ"/>
              </w:rPr>
              <w:t>pCR айырмашылығы үшін 97.5% СА төменгі шегі**</w:t>
            </w:r>
          </w:p>
        </w:tc>
        <w:tc>
          <w:tcPr>
            <w:tcW w:w="4082" w:type="dxa"/>
            <w:gridSpan w:val="2"/>
            <w:shd w:val="clear" w:color="auto" w:fill="auto"/>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 xml:space="preserve">-4.0 </w:t>
            </w:r>
          </w:p>
          <w:p w:rsidR="0050122F" w:rsidRPr="005F36B9" w:rsidRDefault="0050122F" w:rsidP="0050122F">
            <w:pPr>
              <w:pStyle w:val="ac"/>
              <w:spacing w:before="0" w:beforeAutospacing="0" w:after="0" w:afterAutospacing="0"/>
              <w:jc w:val="center"/>
              <w:rPr>
                <w:spacing w:val="-4"/>
                <w:lang w:val="ru-RU"/>
              </w:rPr>
            </w:pPr>
          </w:p>
        </w:tc>
      </w:tr>
    </w:tbl>
    <w:p w:rsidR="0050122F" w:rsidRPr="005F36B9" w:rsidRDefault="0050122F" w:rsidP="0050122F">
      <w:pPr>
        <w:pStyle w:val="ac"/>
        <w:spacing w:before="0" w:beforeAutospacing="0" w:after="0" w:afterAutospacing="0"/>
        <w:jc w:val="both"/>
        <w:rPr>
          <w:spacing w:val="-4"/>
        </w:rPr>
      </w:pPr>
      <w:r w:rsidRPr="005F36B9">
        <w:rPr>
          <w:spacing w:val="-4"/>
          <w:lang w:val="kk-KZ"/>
        </w:rPr>
        <w:t>* Пирсон-Клоппер әдісін қолдана отырып, бір іріктемелі биномдық критерий үшін сенімді аралық</w:t>
      </w:r>
    </w:p>
    <w:p w:rsidR="0050122F" w:rsidRPr="005F36B9" w:rsidRDefault="0050122F" w:rsidP="0050122F">
      <w:pPr>
        <w:pStyle w:val="ac"/>
        <w:spacing w:before="0" w:beforeAutospacing="0" w:after="0" w:afterAutospacing="0"/>
        <w:jc w:val="both"/>
        <w:rPr>
          <w:spacing w:val="-4"/>
        </w:rPr>
      </w:pPr>
      <w:r w:rsidRPr="005F36B9">
        <w:rPr>
          <w:spacing w:val="-4"/>
          <w:lang w:val="kk-KZ"/>
        </w:rPr>
        <w:t>** Берілген есептеуде Андерсон мен Хоуктың үздіксіздігіне түзету қолданылды (1986)</w:t>
      </w:r>
    </w:p>
    <w:p w:rsidR="0050122F" w:rsidRPr="005F36B9" w:rsidRDefault="0050122F" w:rsidP="0050122F">
      <w:pPr>
        <w:pStyle w:val="ac"/>
        <w:spacing w:before="0" w:beforeAutospacing="0" w:after="0" w:afterAutospacing="0"/>
        <w:jc w:val="both"/>
        <w:rPr>
          <w:spacing w:val="-4"/>
        </w:rPr>
      </w:pPr>
    </w:p>
    <w:p w:rsidR="0050122F" w:rsidRPr="005F36B9" w:rsidRDefault="0050122F" w:rsidP="0050122F">
      <w:pPr>
        <w:pStyle w:val="ac"/>
        <w:spacing w:before="0" w:beforeAutospacing="0" w:after="0" w:afterAutospacing="0"/>
        <w:jc w:val="both"/>
        <w:rPr>
          <w:spacing w:val="-4"/>
        </w:rPr>
      </w:pPr>
      <w:r w:rsidRPr="005F36B9">
        <w:rPr>
          <w:spacing w:val="-4"/>
          <w:lang w:val="kk-KZ"/>
        </w:rPr>
        <w:t xml:space="preserve">Кейінгі бақылаудың медианасы 40 айдан астам анағұрлым ұзақ кезеңін талдау тері астына енгізуге арналған </w:t>
      </w:r>
      <w:r w:rsidR="00BF1259" w:rsidRPr="005F36B9">
        <w:rPr>
          <w:spacing w:val="-4"/>
          <w:lang w:val="kk-KZ"/>
        </w:rPr>
        <w:t xml:space="preserve">дәрілік түрдегі </w:t>
      </w:r>
      <w:r w:rsidR="00546C96" w:rsidRPr="005F36B9">
        <w:rPr>
          <w:spacing w:val="-4"/>
          <w:lang w:val="kk-KZ"/>
        </w:rPr>
        <w:t>трастузумабт</w:t>
      </w:r>
      <w:r w:rsidRPr="005F36B9">
        <w:rPr>
          <w:spacing w:val="-4"/>
          <w:lang w:val="kk-KZ"/>
        </w:rPr>
        <w:t xml:space="preserve">ың вена ішіне енгізуге арналған </w:t>
      </w:r>
      <w:r w:rsidR="00BF1259" w:rsidRPr="005F36B9">
        <w:rPr>
          <w:spacing w:val="-4"/>
          <w:lang w:val="kk-KZ"/>
        </w:rPr>
        <w:t xml:space="preserve">дәрілік түрдегі </w:t>
      </w:r>
      <w:r w:rsidRPr="005F36B9">
        <w:rPr>
          <w:spacing w:val="-4"/>
          <w:lang w:val="kk-KZ"/>
        </w:rPr>
        <w:t>тиімділігі оқиғасыз өміршеңдіктің (EFS) және жалпы өміршеңдіктің (ОЅ) салыстырмалы нәтижелерімен салыстырғанда кем емес тиімділігін растады (3 жастағы EFS деңгейі вена ішіне енгізу тобында 73%-ды және тері астына енгізу тобында 76%-ды, 3 жылдық OS деңгейі вена ішіне енгізу тобында 90%-ды және тері астына енгізу тобында 92%-ды құрады).</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ФК-ға қатысты тиімділігі кем емес біріктірілген бастапқы ақырғы нүкте туралы ақпаратты, трастузумабпен емдеудің 7-ші циклы аяқталған сәттегі C</w:t>
      </w:r>
      <w:r w:rsidRPr="005F36B9">
        <w:rPr>
          <w:spacing w:val="-4"/>
          <w:vertAlign w:val="subscript"/>
          <w:lang w:val="kk-KZ"/>
        </w:rPr>
        <w:t>trough</w:t>
      </w:r>
      <w:r w:rsidRPr="005F36B9">
        <w:rPr>
          <w:spacing w:val="-4"/>
          <w:lang w:val="kk-KZ"/>
        </w:rPr>
        <w:t>тепе-теңдік мәнін «Фармакокинетикалық қасиеттері» 5.2 бөлімінен қараңыз. Салыстырмалы қауіпсіздік бейінін4.8 бөлімнен қараңыз.</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 xml:space="preserve">Кейінгі бақылаудың ұзақтығы 70 айдан асатын медианамен қорытынды талдау </w:t>
      </w:r>
      <w:r w:rsidR="00546C96" w:rsidRPr="005F36B9">
        <w:rPr>
          <w:spacing w:val="-4"/>
          <w:lang w:val="kk-KZ"/>
        </w:rPr>
        <w:t>трастузумабты</w:t>
      </w:r>
      <w:r w:rsidRPr="005F36B9">
        <w:rPr>
          <w:spacing w:val="-4"/>
          <w:lang w:val="kk-KZ"/>
        </w:rPr>
        <w:t xml:space="preserve"> вена ішіне және тері астына енгізуге арналған дәрілік түрінде алған пациенттерде EFS және OS көрсеткіштері бойынша ұқсас нәтижелерді көрсетті. 6 жылдық EFS жиілігі екі топта да 65%-ды құрады (ITT-популяция: ҚҚ=0.98 [95% СА: 0.74; 1.29]) және 6 жылдық OS жиілігі - екі топта 84%-ды құрады (ITT-популяция: ҚҚ=0.94 [95% СА: 0.61; 1.45]).</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 xml:space="preserve">HER2-оң СБеО-ға шалдыққан пациенттерде адъювантты ем ретінде тері астына енгізуге арналған </w:t>
      </w:r>
      <w:r w:rsidR="00BF1259" w:rsidRPr="005F36B9">
        <w:rPr>
          <w:spacing w:val="-4"/>
          <w:lang w:val="kk-KZ"/>
        </w:rPr>
        <w:t xml:space="preserve">дәрілік түрдегі </w:t>
      </w:r>
      <w:r w:rsidR="00546C96" w:rsidRPr="005F36B9">
        <w:rPr>
          <w:spacing w:val="-4"/>
          <w:lang w:val="kk-KZ"/>
        </w:rPr>
        <w:t>трастузумабт</w:t>
      </w:r>
      <w:r w:rsidRPr="005F36B9">
        <w:rPr>
          <w:spacing w:val="-4"/>
          <w:lang w:val="kk-KZ"/>
        </w:rPr>
        <w:t xml:space="preserve">ың қауіпсіздігі мен жағымдылығын зерттеу бойынша, құтыдағы инъекцияға арналған ерітінді түрінде тері астына енгізуге арналған </w:t>
      </w:r>
      <w:r w:rsidR="00546C96" w:rsidRPr="005F36B9">
        <w:rPr>
          <w:spacing w:val="-4"/>
          <w:lang w:val="kk-KZ"/>
        </w:rPr>
        <w:t xml:space="preserve">трастузумаб </w:t>
      </w:r>
      <w:r w:rsidRPr="005F36B9">
        <w:rPr>
          <w:spacing w:val="-4"/>
          <w:lang w:val="kk-KZ"/>
        </w:rPr>
        <w:t xml:space="preserve">алу үшін когортаға (N=1868, неоадъювантты ем қабылдаған 20 пациентті қоса алғанда) немесе құтыдағы инъекцияға арналған ерітінді түрінде немесе автоматты енгізуге арналған жүйе түрінде тері астына енгізуге арналған </w:t>
      </w:r>
      <w:r w:rsidR="00546C96" w:rsidRPr="005F36B9">
        <w:rPr>
          <w:spacing w:val="-4"/>
          <w:lang w:val="kk-KZ"/>
        </w:rPr>
        <w:t xml:space="preserve">трастузумаб </w:t>
      </w:r>
      <w:r w:rsidRPr="005F36B9">
        <w:rPr>
          <w:spacing w:val="-4"/>
          <w:lang w:val="kk-KZ"/>
        </w:rPr>
        <w:t xml:space="preserve">алу үшін когортаға (N=710, неоадъювантты ем қабылдаған 21 пациентті қоса алғанда), есепке алынған МО28048 зерттеуі жаңа қауіпсіздік белгілерін анықтамай аяқталды. Нәтижелер вена ішіне енгізуге және тері астына енгізуге арналған </w:t>
      </w:r>
      <w:r w:rsidR="00BF1259" w:rsidRPr="005F36B9">
        <w:rPr>
          <w:spacing w:val="-4"/>
          <w:lang w:val="kk-KZ"/>
        </w:rPr>
        <w:t xml:space="preserve">дәрілік түрдегі </w:t>
      </w:r>
      <w:r w:rsidR="00546C96" w:rsidRPr="005F36B9">
        <w:rPr>
          <w:spacing w:val="-4"/>
          <w:lang w:val="kk-KZ"/>
        </w:rPr>
        <w:t>трастузумабт</w:t>
      </w:r>
      <w:r w:rsidRPr="005F36B9">
        <w:rPr>
          <w:spacing w:val="-4"/>
          <w:lang w:val="kk-KZ"/>
        </w:rPr>
        <w:t xml:space="preserve">ың белгілі қауіпсіздік бейініне сәйкес келді. Бұдан басқа, дене салмағы төмен пациенттерді тері астына енгізуге арналған </w:t>
      </w:r>
      <w:r w:rsidR="00546C96" w:rsidRPr="005F36B9">
        <w:rPr>
          <w:spacing w:val="-4"/>
          <w:lang w:val="kk-KZ"/>
        </w:rPr>
        <w:t xml:space="preserve">трастузумабпен </w:t>
      </w:r>
      <w:r w:rsidRPr="005F36B9">
        <w:rPr>
          <w:spacing w:val="-4"/>
          <w:lang w:val="kk-KZ"/>
        </w:rPr>
        <w:t xml:space="preserve">тіркелген дозада адъювантты режимде СБеО кезінде емдеу дене салмағы үлкен пациенттермен салыстырғанда қауіпсіздікке, жағымсыз </w:t>
      </w:r>
      <w:r w:rsidRPr="005F36B9">
        <w:rPr>
          <w:spacing w:val="-4"/>
          <w:lang w:val="kk-KZ"/>
        </w:rPr>
        <w:lastRenderedPageBreak/>
        <w:t xml:space="preserve">құбылыстарға және елеулі жағымсыз құбылыстарға қатысты жоғары қауіппен байланысты болған жоқ. 70 айдан астам кейінгі бақылау ұзақтығының медианасы кезінде ВО22227 зерттеуінің түпкілікті нәтижелері, сондай-ақ вена ішіне және тері астына енгізуге арналған </w:t>
      </w:r>
      <w:r w:rsidR="00BF1259" w:rsidRPr="005F36B9">
        <w:rPr>
          <w:spacing w:val="-4"/>
          <w:lang w:val="kk-KZ"/>
        </w:rPr>
        <w:t xml:space="preserve">дәрілік түрдегі </w:t>
      </w:r>
      <w:r w:rsidR="00546C96" w:rsidRPr="005F36B9">
        <w:rPr>
          <w:spacing w:val="-4"/>
          <w:lang w:val="kk-KZ"/>
        </w:rPr>
        <w:t>трастузумабт</w:t>
      </w:r>
      <w:r w:rsidRPr="005F36B9">
        <w:rPr>
          <w:spacing w:val="-4"/>
          <w:lang w:val="kk-KZ"/>
        </w:rPr>
        <w:t>ың белгілі қауіпсіздік бейініне сәйкес келді, қауіпсіздіктің жаңа белгілері анықталған жоқ.</w:t>
      </w:r>
    </w:p>
    <w:p w:rsidR="0050122F" w:rsidRPr="005F36B9" w:rsidRDefault="0050122F" w:rsidP="0050122F">
      <w:pPr>
        <w:pStyle w:val="Default"/>
        <w:jc w:val="both"/>
        <w:rPr>
          <w:color w:val="auto"/>
          <w:spacing w:val="-4"/>
          <w:u w:val="single"/>
          <w:lang w:val="kk-KZ"/>
        </w:rPr>
      </w:pPr>
      <w:r w:rsidRPr="005F36B9">
        <w:rPr>
          <w:color w:val="auto"/>
          <w:spacing w:val="-4"/>
          <w:u w:val="single"/>
          <w:lang w:val="kk-KZ"/>
        </w:rPr>
        <w:t>Балалар</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 xml:space="preserve">Еуропалық дәрілік заттар агенттігі </w:t>
      </w:r>
      <w:r w:rsidR="00546C96" w:rsidRPr="005F36B9">
        <w:rPr>
          <w:spacing w:val="-4"/>
          <w:lang w:val="kk-KZ"/>
        </w:rPr>
        <w:t xml:space="preserve">трастузумаб </w:t>
      </w:r>
      <w:r w:rsidRPr="005F36B9">
        <w:rPr>
          <w:spacing w:val="-4"/>
          <w:lang w:val="kk-KZ"/>
        </w:rPr>
        <w:t xml:space="preserve">сүт безінің обырына қатысты балалар популяциясының барлық қосалқы топтарында қолдануды зерттеу нәтижелерін міндетті түрде ұсыну талабын алып тастады (4.2 бөлімдегі балаларда қолдану туралы ақпаратты қараңыз). </w:t>
      </w:r>
    </w:p>
    <w:p w:rsidR="0050122F" w:rsidRPr="005F36B9" w:rsidRDefault="0050122F" w:rsidP="0050122F">
      <w:pPr>
        <w:jc w:val="both"/>
        <w:rPr>
          <w:spacing w:val="-4"/>
          <w:u w:val="single"/>
          <w:lang w:val="kk-KZ"/>
        </w:rPr>
      </w:pPr>
    </w:p>
    <w:p w:rsidR="0050122F" w:rsidRPr="005F36B9" w:rsidRDefault="0050122F" w:rsidP="0050122F">
      <w:pPr>
        <w:jc w:val="both"/>
        <w:rPr>
          <w:b/>
          <w:spacing w:val="-4"/>
          <w:lang w:val="kk-KZ"/>
        </w:rPr>
      </w:pPr>
      <w:r w:rsidRPr="005F36B9">
        <w:rPr>
          <w:b/>
          <w:spacing w:val="-4"/>
          <w:lang w:val="kk-KZ"/>
        </w:rPr>
        <w:t>5.2 Фармакокинетикалық қасиеттері</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ВО22227 III фазасының зерттеуінде әрбір 3 апта сайын 600 мг тіркелген дозада тері астына енгізілетін трастузумабтың фармакокинетикасы вена ішіне енгізген кезде осындай дозамен салыстырылды (жүктемелік дозасы 8 мг/кг, содан кейін әр 3 апта сайын 6 мг/кг демеуші дозаны енгізу). 8-ші циклдің кейінгі дозасын енгізер алдында C</w:t>
      </w:r>
      <w:r w:rsidRPr="005F36B9">
        <w:rPr>
          <w:spacing w:val="-4"/>
          <w:vertAlign w:val="subscript"/>
          <w:lang w:val="kk-KZ"/>
        </w:rPr>
        <w:t>trough</w:t>
      </w:r>
      <w:r w:rsidRPr="005F36B9">
        <w:rPr>
          <w:spacing w:val="-4"/>
          <w:lang w:val="kk-KZ"/>
        </w:rPr>
        <w:t xml:space="preserve"> біріктірілген бастапқы ақырғы нүктесінің фармакокинетикалық көрсеткіштері дене салмағын ескере отырып, вена ішіне енгізуге арналған дәрілік түрімен</w:t>
      </w:r>
      <w:r w:rsidR="00650979" w:rsidRPr="005F36B9">
        <w:rPr>
          <w:spacing w:val="-4"/>
          <w:lang w:val="kk-KZ"/>
        </w:rPr>
        <w:t xml:space="preserve"> </w:t>
      </w:r>
      <w:r w:rsidRPr="005F36B9">
        <w:rPr>
          <w:spacing w:val="-4"/>
          <w:lang w:val="kk-KZ"/>
        </w:rPr>
        <w:t xml:space="preserve">салыстырғанда тері астына енгізуге арналған </w:t>
      </w:r>
      <w:r w:rsidR="00BF1259" w:rsidRPr="005F36B9">
        <w:rPr>
          <w:spacing w:val="-4"/>
          <w:lang w:val="kk-KZ"/>
        </w:rPr>
        <w:t xml:space="preserve">дәрілік түрдегі </w:t>
      </w:r>
      <w:r w:rsidR="00546C96" w:rsidRPr="005F36B9">
        <w:rPr>
          <w:spacing w:val="-4"/>
          <w:lang w:val="kk-KZ"/>
        </w:rPr>
        <w:t xml:space="preserve">трастузумабты </w:t>
      </w:r>
      <w:r w:rsidRPr="005F36B9">
        <w:rPr>
          <w:spacing w:val="-4"/>
          <w:lang w:val="kk-KZ"/>
        </w:rPr>
        <w:t>қолданудың кем емес тиімділігіне қол жеткізілгені туралы куәландырады.</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Емдеудің неоадъювантты фазасындағы зерттеуде 8-ші циклдің кейінгі дозасын енгізер алдында C</w:t>
      </w:r>
      <w:r w:rsidRPr="005F36B9">
        <w:rPr>
          <w:spacing w:val="-4"/>
          <w:vertAlign w:val="subscript"/>
          <w:lang w:val="kk-KZ"/>
        </w:rPr>
        <w:t>trough</w:t>
      </w:r>
      <w:r w:rsidRPr="005F36B9">
        <w:rPr>
          <w:spacing w:val="-4"/>
          <w:lang w:val="kk-KZ"/>
        </w:rPr>
        <w:t xml:space="preserve"> орташа мәні тері астына енгізуге арналған </w:t>
      </w:r>
      <w:r w:rsidR="00BF1259" w:rsidRPr="005F36B9">
        <w:rPr>
          <w:spacing w:val="-4"/>
          <w:lang w:val="kk-KZ"/>
        </w:rPr>
        <w:t xml:space="preserve">дәрілік түрдегі </w:t>
      </w:r>
      <w:r w:rsidR="00546C96" w:rsidRPr="005F36B9">
        <w:rPr>
          <w:spacing w:val="-4"/>
          <w:lang w:val="kk-KZ"/>
        </w:rPr>
        <w:t>трастузумабт</w:t>
      </w:r>
      <w:r w:rsidRPr="005F36B9">
        <w:rPr>
          <w:spacing w:val="-4"/>
          <w:lang w:val="kk-KZ"/>
        </w:rPr>
        <w:t xml:space="preserve">ың тобында (78.7 мг/мл) вена ішіне енгізуге арналған </w:t>
      </w:r>
      <w:r w:rsidR="00BF1259" w:rsidRPr="005F36B9">
        <w:rPr>
          <w:spacing w:val="-4"/>
          <w:lang w:val="kk-KZ"/>
        </w:rPr>
        <w:t xml:space="preserve">дәрілік түрдегі </w:t>
      </w:r>
      <w:r w:rsidR="00546C96" w:rsidRPr="005F36B9">
        <w:rPr>
          <w:spacing w:val="-4"/>
          <w:lang w:val="kk-KZ"/>
        </w:rPr>
        <w:t>трастузумабтың</w:t>
      </w:r>
      <w:r w:rsidRPr="005F36B9">
        <w:rPr>
          <w:spacing w:val="-4"/>
          <w:lang w:val="kk-KZ"/>
        </w:rPr>
        <w:t xml:space="preserve"> тобымен салыстырғанда (57.8 мг/мл) жоғары болды. Емдеудің адъювантты фазасында C</w:t>
      </w:r>
      <w:r w:rsidRPr="005F36B9">
        <w:rPr>
          <w:spacing w:val="-4"/>
          <w:vertAlign w:val="subscript"/>
          <w:lang w:val="kk-KZ"/>
        </w:rPr>
        <w:t>trough</w:t>
      </w:r>
      <w:r w:rsidRPr="005F36B9">
        <w:rPr>
          <w:spacing w:val="-4"/>
          <w:lang w:val="kk-KZ"/>
        </w:rPr>
        <w:t xml:space="preserve"> орташа мәндері 13 циклдің кейінгі дозасын енгізер алдында 90.4 мг/мл және тиісінше 62.1 мг/мл құрады. В22227 зерттеуінің деректері бойынша препаратты вена ішіне енгізу кезіндегі тепе-теңдік жағдайына 8-ші циклде қол жеткізілді. </w:t>
      </w:r>
      <w:r w:rsidR="00546C96" w:rsidRPr="005F36B9">
        <w:rPr>
          <w:spacing w:val="-4"/>
          <w:lang w:val="kk-KZ"/>
        </w:rPr>
        <w:t xml:space="preserve">Трастузумабты </w:t>
      </w:r>
      <w:r w:rsidRPr="005F36B9">
        <w:rPr>
          <w:spacing w:val="-4"/>
          <w:lang w:val="kk-KZ"/>
        </w:rPr>
        <w:t>тері астына енгізу үшін дәрілік түрінде қолданған кезде концентрациялар 13-ші циклға (&lt;15%) дейін концентрацияның шамалы ұлғаюымен 7-ші циклден кейін (8-ші циклде енгізілгенге дейін) шамамен тепе-теңдік күйіне жетті. 18-ші циклінде тері астына арналған түрін қолданар алдында C</w:t>
      </w:r>
      <w:r w:rsidRPr="005F36B9">
        <w:rPr>
          <w:spacing w:val="-4"/>
          <w:vertAlign w:val="subscript"/>
          <w:lang w:val="kk-KZ"/>
        </w:rPr>
        <w:t>trough</w:t>
      </w:r>
      <w:r w:rsidRPr="005F36B9">
        <w:rPr>
          <w:spacing w:val="-4"/>
          <w:lang w:val="kk-KZ"/>
        </w:rPr>
        <w:t xml:space="preserve"> орташа мәні 90.7 мг/мл құрады және </w:t>
      </w:r>
      <w:r w:rsidR="00577EE5" w:rsidRPr="005F36B9">
        <w:rPr>
          <w:spacing w:val="-4"/>
          <w:lang w:val="kk-KZ"/>
        </w:rPr>
        <w:t>13-ші циклден кейін концентрацияның одан әрі жоғарылауының жоқтығын көрсет</w:t>
      </w:r>
      <w:r w:rsidR="00577EE5" w:rsidRPr="005F36B9">
        <w:rPr>
          <w:spacing w:val="-4"/>
          <w:lang w:val="kk-KZ"/>
        </w:rPr>
        <w:t xml:space="preserve">уі мүмкін </w:t>
      </w:r>
      <w:r w:rsidRPr="005F36B9">
        <w:rPr>
          <w:spacing w:val="-4"/>
          <w:lang w:val="kk-KZ"/>
        </w:rPr>
        <w:t>13-ші цикліндегі көрсеткішке ұқсас болды</w:t>
      </w:r>
      <w:r w:rsidR="00577EE5" w:rsidRPr="005F36B9">
        <w:rPr>
          <w:spacing w:val="-4"/>
          <w:lang w:val="kk-KZ"/>
        </w:rPr>
        <w:t>.</w:t>
      </w:r>
      <w:r w:rsidRPr="005F36B9">
        <w:rPr>
          <w:spacing w:val="-4"/>
          <w:lang w:val="kk-KZ"/>
        </w:rPr>
        <w:t xml:space="preserve"> </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Препараттың тері астылық түрін қолданғаннан кейін ең жоғары концентрацияға (T</w:t>
      </w:r>
      <w:r w:rsidRPr="005F36B9">
        <w:rPr>
          <w:spacing w:val="-4"/>
          <w:vertAlign w:val="subscript"/>
          <w:lang w:val="kk-KZ"/>
        </w:rPr>
        <w:t>max</w:t>
      </w:r>
      <w:r w:rsidRPr="005F36B9">
        <w:rPr>
          <w:spacing w:val="-4"/>
          <w:lang w:val="kk-KZ"/>
        </w:rPr>
        <w:t xml:space="preserve">) қол жеткізу уақытының медианасы жоғары жеке құбылмалылықпен шамамен 3 күнді құрады (ауқымы 1-14 күн). </w:t>
      </w:r>
      <w:r w:rsidR="00546C96" w:rsidRPr="005F36B9">
        <w:rPr>
          <w:spacing w:val="-4"/>
          <w:lang w:val="kk-KZ"/>
        </w:rPr>
        <w:t>Трастузумабт</w:t>
      </w:r>
      <w:r w:rsidRPr="005F36B9">
        <w:rPr>
          <w:spacing w:val="-4"/>
          <w:lang w:val="kk-KZ"/>
        </w:rPr>
        <w:t>ың ең жоғары концентрациясының (С</w:t>
      </w:r>
      <w:r w:rsidRPr="005F36B9">
        <w:rPr>
          <w:spacing w:val="-4"/>
          <w:vertAlign w:val="subscript"/>
          <w:lang w:val="kk-KZ"/>
        </w:rPr>
        <w:t>mах</w:t>
      </w:r>
      <w:r w:rsidRPr="005F36B9">
        <w:rPr>
          <w:spacing w:val="-4"/>
          <w:lang w:val="kk-KZ"/>
        </w:rPr>
        <w:t>) орташа мәні күтілгендей, вена ішіне енгізуге арналған түрін қолданғанға қарағанда препараттың тері астылық түрін (149 мг/мл) енгізу кезінде анағұрлым төмен болды (инфузия аяқталған кездегі мәні: 221 мг/мл).</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7 циклдан кейін «концентрация-уақыт» қисығының астындағы ауданның орташа мәні (AUC</w:t>
      </w:r>
      <w:r w:rsidRPr="005F36B9">
        <w:rPr>
          <w:spacing w:val="-4"/>
          <w:vertAlign w:val="subscript"/>
          <w:lang w:val="kk-KZ"/>
        </w:rPr>
        <w:t>0-21</w:t>
      </w:r>
      <w:r w:rsidRPr="005F36B9">
        <w:rPr>
          <w:spacing w:val="-4"/>
          <w:lang w:val="kk-KZ"/>
        </w:rPr>
        <w:t xml:space="preserve">) тері астына енгізу үшін </w:t>
      </w:r>
      <w:r w:rsidR="00BF1259" w:rsidRPr="005F36B9">
        <w:rPr>
          <w:spacing w:val="-4"/>
          <w:lang w:val="kk-KZ"/>
        </w:rPr>
        <w:t xml:space="preserve">дәрілік түрдегі </w:t>
      </w:r>
      <w:r w:rsidR="00546C96" w:rsidRPr="005F36B9">
        <w:rPr>
          <w:spacing w:val="-4"/>
          <w:lang w:val="kk-KZ"/>
        </w:rPr>
        <w:t xml:space="preserve">трастузумабты </w:t>
      </w:r>
      <w:r w:rsidRPr="005F36B9">
        <w:rPr>
          <w:spacing w:val="-4"/>
          <w:lang w:val="kk-KZ"/>
        </w:rPr>
        <w:t>қолдану кезінде вена ішіне енгізуге арналған препаратты қолданумен салыстырғанда шамамен 10%-ға жоғары болды, бұл ретте AUC орташа мәні тиісінше 2268 мкг/мл×тәулікті және 2056 мкг/мл×тәулікті құрады. 12-ші циклдан кейін AUC</w:t>
      </w:r>
      <w:r w:rsidRPr="005F36B9">
        <w:rPr>
          <w:spacing w:val="-4"/>
          <w:vertAlign w:val="subscript"/>
          <w:lang w:val="kk-KZ"/>
        </w:rPr>
        <w:t>0-21</w:t>
      </w:r>
      <w:r w:rsidRPr="005F36B9">
        <w:rPr>
          <w:spacing w:val="-4"/>
          <w:lang w:val="kk-KZ"/>
        </w:rPr>
        <w:t xml:space="preserve"> көрсеткіші тері астына енгізуге арналған </w:t>
      </w:r>
      <w:r w:rsidR="00BF1259" w:rsidRPr="005F36B9">
        <w:rPr>
          <w:spacing w:val="-4"/>
          <w:lang w:val="kk-KZ"/>
        </w:rPr>
        <w:t xml:space="preserve">дәрілік түрдегі </w:t>
      </w:r>
      <w:r w:rsidR="00BE373E" w:rsidRPr="005F36B9">
        <w:rPr>
          <w:spacing w:val="-4"/>
          <w:lang w:val="kk-KZ"/>
        </w:rPr>
        <w:t xml:space="preserve">трастузумабты </w:t>
      </w:r>
      <w:r w:rsidRPr="005F36B9">
        <w:rPr>
          <w:spacing w:val="-4"/>
          <w:lang w:val="kk-KZ"/>
        </w:rPr>
        <w:t xml:space="preserve">қолдану кезінде вена ішіне енгізуге арналған дәрілік түрімен салыстырғанда шамамен 20%-ға жоғары болды, бұл ретте AUC орташа мәні тиісінше 2610 мкг/мл×тәулік және 2179 мкг/мл×тәулік болды. Трастузумабтың клиренсіне дене салмағының айқын әсер етуіне және тері астына енгізуге арналған тіркелген дозаны пайдалануға байланысты тері астына және вена ішіне дәрілік түрі арасындағы экспозициядағы айырмашылық дене салмағына байланысты: дене салмағы &lt;51 кг пациенттерде тері астына енгізу кезінде вена ішіне енгізгенге қарағанда трастузумабтың AUC орташа тепе-теңдік мәні шамамен 80%-ға жоғары, сол уақытта дене салмағы &gt;90 кг </w:t>
      </w:r>
      <w:r w:rsidRPr="005F36B9">
        <w:rPr>
          <w:spacing w:val="-4"/>
          <w:lang w:val="kk-KZ"/>
        </w:rPr>
        <w:lastRenderedPageBreak/>
        <w:t>кезінде тері астына енгізгеннен кейін AUC мәні вена ішіне енгізумен салыстырғанда 20%-ға төмен.</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Орталық камерадан параллельді желілі және желілі емес шығарылу арқылы популяциялық фармакокинетиканың моделі СБеО-ға шалдыққан</w:t>
      </w:r>
      <w:r w:rsidR="00BE373E" w:rsidRPr="005F36B9">
        <w:rPr>
          <w:spacing w:val="-4"/>
          <w:lang w:val="kk-KZ"/>
        </w:rPr>
        <w:t xml:space="preserve"> </w:t>
      </w:r>
      <w:r w:rsidRPr="005F36B9">
        <w:rPr>
          <w:spacing w:val="-4"/>
          <w:lang w:val="kk-KZ"/>
        </w:rPr>
        <w:t xml:space="preserve">пациенттерде </w:t>
      </w:r>
      <w:r w:rsidR="00BE373E" w:rsidRPr="005F36B9">
        <w:rPr>
          <w:spacing w:val="-4"/>
          <w:lang w:val="kk-KZ"/>
        </w:rPr>
        <w:t>трастузумабты</w:t>
      </w:r>
      <w:r w:rsidRPr="005F36B9">
        <w:rPr>
          <w:spacing w:val="-4"/>
          <w:lang w:val="kk-KZ"/>
        </w:rPr>
        <w:t xml:space="preserve"> вена ішіне және тері астына енгізгеннен кейін байқалатын ФК концентрацияларын сипаттау үшін В022227 III фазасын зерттеу барысында алынған тері астына және вена ішіне енгізуге арналған дәрілік түрлері туралы жалпыланған деректерді пайдалана отырып, құрылған. Трастузумабтың тері астына енгізу кезіндегі биожетімділігі 77.1%-ды құрады, бірінші ретті сіңірілу жылдамдығының константасы – 0.4 күн-1. Желілік клиренс тәулігіне 0.111 л және орталық камерадағы (V</w:t>
      </w:r>
      <w:r w:rsidRPr="005F36B9">
        <w:rPr>
          <w:spacing w:val="-4"/>
          <w:vertAlign w:val="subscript"/>
          <w:lang w:val="kk-KZ"/>
        </w:rPr>
        <w:t>с</w:t>
      </w:r>
      <w:r w:rsidRPr="005F36B9">
        <w:rPr>
          <w:spacing w:val="-4"/>
          <w:lang w:val="kk-KZ"/>
        </w:rPr>
        <w:t>) тарату көлемі 2.91 л құрады. Михаэлис-Ментен моделі бойынша желілік емес шығарылу параметрлерінің мәндері ең жоғары жылдамдық үшін тәулігіне 11.9 мг (V</w:t>
      </w:r>
      <w:r w:rsidRPr="005F36B9">
        <w:rPr>
          <w:spacing w:val="-4"/>
          <w:vertAlign w:val="subscript"/>
          <w:lang w:val="kk-KZ"/>
        </w:rPr>
        <w:t>max</w:t>
      </w:r>
      <w:r w:rsidRPr="005F36B9">
        <w:rPr>
          <w:spacing w:val="-4"/>
          <w:lang w:val="kk-KZ"/>
        </w:rPr>
        <w:t xml:space="preserve">) және </w:t>
      </w:r>
      <w:r w:rsidR="00577EE5" w:rsidRPr="005F36B9">
        <w:rPr>
          <w:spacing w:val="-4"/>
          <w:lang w:val="kk-KZ"/>
        </w:rPr>
        <w:t xml:space="preserve">константа  </w:t>
      </w:r>
      <w:r w:rsidRPr="005F36B9">
        <w:rPr>
          <w:spacing w:val="-4"/>
          <w:lang w:val="kk-KZ"/>
        </w:rPr>
        <w:t>үшін 33.9 мг/ л (K</w:t>
      </w:r>
      <w:r w:rsidRPr="005F36B9">
        <w:rPr>
          <w:spacing w:val="-4"/>
          <w:vertAlign w:val="subscript"/>
          <w:lang w:val="kk-KZ"/>
        </w:rPr>
        <w:t>m</w:t>
      </w:r>
      <w:r w:rsidRPr="005F36B9">
        <w:rPr>
          <w:spacing w:val="-4"/>
          <w:lang w:val="kk-KZ"/>
        </w:rPr>
        <w:t xml:space="preserve">) құрады. Дене салмағы және сарысулық аланинаминотрансфераза (АЛТ) ФК-ға статистикалық маңызды әсерін көрсетті, алайда модельдеу СБеО-ға шалдыққан пациенттерде дозаны түзету талап етілмейтінін көрсетті. СБеО-ға шалдыққан пациенттерде тері астына енгізуге арналған </w:t>
      </w:r>
      <w:r w:rsidR="00BF1259" w:rsidRPr="005F36B9">
        <w:rPr>
          <w:spacing w:val="-4"/>
          <w:lang w:val="kk-KZ"/>
        </w:rPr>
        <w:t xml:space="preserve">дәрілік түрдегі </w:t>
      </w:r>
      <w:r w:rsidR="00BE373E" w:rsidRPr="005F36B9">
        <w:rPr>
          <w:spacing w:val="-4"/>
          <w:lang w:val="kk-KZ"/>
        </w:rPr>
        <w:t xml:space="preserve">трастузумаб </w:t>
      </w:r>
      <w:r w:rsidRPr="005F36B9">
        <w:rPr>
          <w:spacing w:val="-4"/>
          <w:lang w:val="kk-KZ"/>
        </w:rPr>
        <w:t>үшін экспозицияның популяциялық фармакокинетикалық көрсеткіштерінің болжамды мәндері (5-ші –</w:t>
      </w:r>
      <w:r w:rsidR="00577EE5" w:rsidRPr="005F36B9">
        <w:rPr>
          <w:spacing w:val="-4"/>
          <w:lang w:val="kk-KZ"/>
        </w:rPr>
        <w:t xml:space="preserve"> 95-ші перцентиль медианасы) 13 </w:t>
      </w:r>
      <w:r w:rsidRPr="005F36B9">
        <w:rPr>
          <w:spacing w:val="-4"/>
          <w:lang w:val="kk-KZ"/>
        </w:rPr>
        <w:t xml:space="preserve">кестеде келтірілген. </w:t>
      </w:r>
    </w:p>
    <w:p w:rsidR="0050122F" w:rsidRPr="005F36B9" w:rsidRDefault="0050122F" w:rsidP="0050122F">
      <w:pPr>
        <w:pStyle w:val="ac"/>
        <w:spacing w:before="0" w:beforeAutospacing="0" w:after="0" w:afterAutospacing="0"/>
        <w:jc w:val="both"/>
        <w:rPr>
          <w:b/>
          <w:spacing w:val="-4"/>
          <w:lang w:val="kk-KZ"/>
        </w:rPr>
      </w:pPr>
    </w:p>
    <w:p w:rsidR="0050122F" w:rsidRPr="005F36B9" w:rsidRDefault="00577EE5" w:rsidP="0050122F">
      <w:pPr>
        <w:pStyle w:val="ac"/>
        <w:spacing w:before="0" w:beforeAutospacing="0" w:after="0" w:afterAutospacing="0"/>
        <w:jc w:val="both"/>
        <w:rPr>
          <w:b/>
          <w:spacing w:val="-4"/>
          <w:lang w:val="kk-KZ"/>
        </w:rPr>
      </w:pPr>
      <w:r w:rsidRPr="005F36B9">
        <w:rPr>
          <w:b/>
          <w:spacing w:val="-4"/>
          <w:lang w:val="kk-KZ"/>
        </w:rPr>
        <w:t xml:space="preserve">13 </w:t>
      </w:r>
      <w:r w:rsidR="0050122F" w:rsidRPr="005F36B9">
        <w:rPr>
          <w:b/>
          <w:spacing w:val="-4"/>
          <w:lang w:val="kk-KZ"/>
        </w:rPr>
        <w:t xml:space="preserve">кесте. СБеО-ға шалдыққан пациенттерде әр 3 апта сайын 600 мг дозада тері астына енгізуге арналған </w:t>
      </w:r>
      <w:r w:rsidR="00BF1259" w:rsidRPr="005F36B9">
        <w:rPr>
          <w:b/>
          <w:spacing w:val="-4"/>
          <w:lang w:val="kk-KZ"/>
        </w:rPr>
        <w:t xml:space="preserve">дәрілік түрдегі </w:t>
      </w:r>
      <w:r w:rsidR="00BE373E" w:rsidRPr="005F36B9">
        <w:rPr>
          <w:b/>
          <w:spacing w:val="-4"/>
          <w:lang w:val="kk-KZ"/>
        </w:rPr>
        <w:t>трастузумаб</w:t>
      </w:r>
      <w:r w:rsidR="0050122F" w:rsidRPr="005F36B9">
        <w:rPr>
          <w:b/>
          <w:spacing w:val="-4"/>
          <w:lang w:val="kk-KZ"/>
        </w:rPr>
        <w:t xml:space="preserve"> үшін экспозицияның популяциялық фармакокинетикалық көрсеткіштерінің (5-ші – 95-ші перцентиль медианасы) болжамды мәндері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566"/>
        <w:gridCol w:w="576"/>
        <w:gridCol w:w="1694"/>
        <w:gridCol w:w="1701"/>
        <w:gridCol w:w="1814"/>
      </w:tblGrid>
      <w:tr w:rsidR="0050122F" w:rsidRPr="005F36B9" w:rsidTr="0050122F">
        <w:tc>
          <w:tcPr>
            <w:tcW w:w="1721" w:type="dxa"/>
            <w:shd w:val="clear" w:color="auto" w:fill="auto"/>
            <w:vAlign w:val="center"/>
          </w:tcPr>
          <w:p w:rsidR="0050122F" w:rsidRPr="005F36B9" w:rsidRDefault="0050122F" w:rsidP="0050122F">
            <w:pPr>
              <w:pStyle w:val="ac"/>
              <w:spacing w:before="0" w:beforeAutospacing="0" w:after="0" w:afterAutospacing="0"/>
              <w:jc w:val="center"/>
              <w:rPr>
                <w:b/>
                <w:spacing w:val="-4"/>
                <w:lang w:val="kk-KZ"/>
              </w:rPr>
            </w:pPr>
            <w:r w:rsidRPr="005F36B9">
              <w:rPr>
                <w:b/>
                <w:spacing w:val="-4"/>
                <w:lang w:val="kk-KZ"/>
              </w:rPr>
              <w:t>Бастапқы ісік түрі және енгізу режимі</w:t>
            </w:r>
          </w:p>
        </w:tc>
        <w:tc>
          <w:tcPr>
            <w:tcW w:w="1566" w:type="dxa"/>
            <w:shd w:val="clear" w:color="auto" w:fill="auto"/>
            <w:vAlign w:val="center"/>
          </w:tcPr>
          <w:p w:rsidR="0050122F" w:rsidRPr="005F36B9" w:rsidRDefault="0050122F" w:rsidP="0050122F">
            <w:pPr>
              <w:pStyle w:val="ac"/>
              <w:spacing w:before="0" w:beforeAutospacing="0" w:after="0" w:afterAutospacing="0"/>
              <w:jc w:val="center"/>
              <w:rPr>
                <w:b/>
                <w:spacing w:val="-4"/>
                <w:lang w:val="ru-RU"/>
              </w:rPr>
            </w:pPr>
            <w:r w:rsidRPr="005F36B9">
              <w:rPr>
                <w:b/>
                <w:spacing w:val="-4"/>
                <w:lang w:val="kk-KZ"/>
              </w:rPr>
              <w:t>Цикл</w:t>
            </w:r>
          </w:p>
        </w:tc>
        <w:tc>
          <w:tcPr>
            <w:tcW w:w="576" w:type="dxa"/>
            <w:shd w:val="clear" w:color="auto" w:fill="auto"/>
            <w:vAlign w:val="center"/>
          </w:tcPr>
          <w:p w:rsidR="0050122F" w:rsidRPr="005F36B9" w:rsidRDefault="0050122F" w:rsidP="0050122F">
            <w:pPr>
              <w:pStyle w:val="ac"/>
              <w:spacing w:before="0" w:beforeAutospacing="0" w:after="0" w:afterAutospacing="0"/>
              <w:jc w:val="center"/>
              <w:rPr>
                <w:b/>
                <w:spacing w:val="-4"/>
                <w:lang w:val="ru-RU"/>
              </w:rPr>
            </w:pPr>
            <w:r w:rsidRPr="005F36B9">
              <w:rPr>
                <w:b/>
                <w:spacing w:val="-4"/>
                <w:lang w:val="kk-KZ"/>
              </w:rPr>
              <w:t>N</w:t>
            </w:r>
          </w:p>
        </w:tc>
        <w:tc>
          <w:tcPr>
            <w:tcW w:w="1694" w:type="dxa"/>
            <w:shd w:val="clear" w:color="auto" w:fill="auto"/>
            <w:vAlign w:val="center"/>
          </w:tcPr>
          <w:p w:rsidR="0050122F" w:rsidRPr="005F36B9" w:rsidRDefault="0050122F" w:rsidP="0050122F">
            <w:pPr>
              <w:pStyle w:val="Default"/>
              <w:jc w:val="center"/>
              <w:rPr>
                <w:b/>
                <w:color w:val="auto"/>
                <w:spacing w:val="-4"/>
              </w:rPr>
            </w:pPr>
            <w:r w:rsidRPr="005F36B9">
              <w:rPr>
                <w:b/>
                <w:color w:val="auto"/>
                <w:spacing w:val="-4"/>
                <w:lang w:val="kk-KZ"/>
              </w:rPr>
              <w:t>C</w:t>
            </w:r>
            <w:r w:rsidRPr="005F36B9">
              <w:rPr>
                <w:b/>
                <w:color w:val="auto"/>
                <w:spacing w:val="-4"/>
                <w:vertAlign w:val="subscript"/>
                <w:lang w:val="kk-KZ"/>
              </w:rPr>
              <w:t>min</w:t>
            </w:r>
          </w:p>
          <w:p w:rsidR="0050122F" w:rsidRPr="005F36B9" w:rsidRDefault="0050122F" w:rsidP="0050122F">
            <w:pPr>
              <w:pStyle w:val="ac"/>
              <w:spacing w:before="0" w:beforeAutospacing="0" w:after="0" w:afterAutospacing="0"/>
              <w:jc w:val="center"/>
              <w:rPr>
                <w:b/>
                <w:spacing w:val="-4"/>
                <w:lang w:val="ru-RU"/>
              </w:rPr>
            </w:pPr>
            <w:r w:rsidRPr="005F36B9">
              <w:rPr>
                <w:b/>
                <w:spacing w:val="-4"/>
                <w:lang w:val="kk-KZ"/>
              </w:rPr>
              <w:t>(мкг/мл)</w:t>
            </w:r>
          </w:p>
        </w:tc>
        <w:tc>
          <w:tcPr>
            <w:tcW w:w="1701" w:type="dxa"/>
            <w:shd w:val="clear" w:color="auto" w:fill="auto"/>
            <w:vAlign w:val="center"/>
          </w:tcPr>
          <w:p w:rsidR="0050122F" w:rsidRPr="005F36B9" w:rsidRDefault="0050122F" w:rsidP="0050122F">
            <w:pPr>
              <w:pStyle w:val="Default"/>
              <w:jc w:val="center"/>
              <w:rPr>
                <w:b/>
                <w:color w:val="auto"/>
                <w:spacing w:val="-4"/>
              </w:rPr>
            </w:pPr>
            <w:r w:rsidRPr="005F36B9">
              <w:rPr>
                <w:b/>
                <w:color w:val="auto"/>
                <w:spacing w:val="-4"/>
                <w:lang w:val="kk-KZ"/>
              </w:rPr>
              <w:t>C</w:t>
            </w:r>
            <w:r w:rsidRPr="005F36B9">
              <w:rPr>
                <w:b/>
                <w:color w:val="auto"/>
                <w:spacing w:val="-4"/>
                <w:vertAlign w:val="subscript"/>
                <w:lang w:val="kk-KZ"/>
              </w:rPr>
              <w:t>max</w:t>
            </w:r>
          </w:p>
          <w:p w:rsidR="0050122F" w:rsidRPr="005F36B9" w:rsidRDefault="0050122F" w:rsidP="0050122F">
            <w:pPr>
              <w:pStyle w:val="ac"/>
              <w:spacing w:before="0" w:beforeAutospacing="0" w:after="0" w:afterAutospacing="0"/>
              <w:jc w:val="center"/>
              <w:rPr>
                <w:b/>
                <w:spacing w:val="-4"/>
                <w:lang w:val="ru-RU"/>
              </w:rPr>
            </w:pPr>
            <w:r w:rsidRPr="005F36B9">
              <w:rPr>
                <w:b/>
                <w:spacing w:val="-4"/>
                <w:lang w:val="kk-KZ"/>
              </w:rPr>
              <w:t>(мкг/мл)</w:t>
            </w:r>
          </w:p>
        </w:tc>
        <w:tc>
          <w:tcPr>
            <w:tcW w:w="1814" w:type="dxa"/>
            <w:shd w:val="clear" w:color="auto" w:fill="auto"/>
            <w:vAlign w:val="center"/>
          </w:tcPr>
          <w:p w:rsidR="0050122F" w:rsidRPr="005F36B9" w:rsidRDefault="0050122F" w:rsidP="0050122F">
            <w:pPr>
              <w:pStyle w:val="Default"/>
              <w:jc w:val="center"/>
              <w:rPr>
                <w:b/>
                <w:color w:val="auto"/>
                <w:spacing w:val="-4"/>
                <w:vertAlign w:val="subscript"/>
              </w:rPr>
            </w:pPr>
            <w:r w:rsidRPr="005F36B9">
              <w:rPr>
                <w:b/>
                <w:color w:val="auto"/>
                <w:spacing w:val="-4"/>
                <w:lang w:val="kk-KZ"/>
              </w:rPr>
              <w:t>AUC</w:t>
            </w:r>
            <w:r w:rsidRPr="005F36B9">
              <w:rPr>
                <w:b/>
                <w:color w:val="auto"/>
                <w:spacing w:val="-4"/>
                <w:vertAlign w:val="subscript"/>
                <w:lang w:val="kk-KZ"/>
              </w:rPr>
              <w:t>0-21</w:t>
            </w:r>
          </w:p>
          <w:p w:rsidR="0050122F" w:rsidRPr="005F36B9" w:rsidRDefault="0050122F" w:rsidP="0050122F">
            <w:pPr>
              <w:pStyle w:val="ac"/>
              <w:spacing w:before="0" w:beforeAutospacing="0" w:after="0" w:afterAutospacing="0"/>
              <w:jc w:val="center"/>
              <w:rPr>
                <w:b/>
                <w:spacing w:val="-4"/>
                <w:lang w:val="ru-RU"/>
              </w:rPr>
            </w:pPr>
            <w:r w:rsidRPr="005F36B9">
              <w:rPr>
                <w:b/>
                <w:spacing w:val="-4"/>
                <w:lang w:val="kk-KZ"/>
              </w:rPr>
              <w:t>(мкг/мл</w:t>
            </w:r>
            <w:r w:rsidRPr="005F36B9">
              <w:rPr>
                <w:spacing w:val="-4"/>
                <w:lang w:val="kk-KZ"/>
              </w:rPr>
              <w:t>×</w:t>
            </w:r>
            <w:r w:rsidRPr="005F36B9">
              <w:rPr>
                <w:b/>
                <w:spacing w:val="-4"/>
                <w:lang w:val="kk-KZ"/>
              </w:rPr>
              <w:t>тәулік)</w:t>
            </w:r>
          </w:p>
        </w:tc>
      </w:tr>
      <w:tr w:rsidR="0050122F" w:rsidRPr="005F36B9" w:rsidTr="0050122F">
        <w:tc>
          <w:tcPr>
            <w:tcW w:w="1721" w:type="dxa"/>
            <w:vMerge w:val="restart"/>
            <w:shd w:val="clear" w:color="auto" w:fill="auto"/>
          </w:tcPr>
          <w:p w:rsidR="0050122F" w:rsidRPr="005F36B9" w:rsidRDefault="0050122F" w:rsidP="0050122F">
            <w:pPr>
              <w:pStyle w:val="ac"/>
              <w:spacing w:before="0" w:beforeAutospacing="0" w:after="0" w:afterAutospacing="0"/>
              <w:rPr>
                <w:spacing w:val="-4"/>
              </w:rPr>
            </w:pPr>
            <w:r w:rsidRPr="005F36B9">
              <w:rPr>
                <w:spacing w:val="-4"/>
                <w:lang w:val="kk-KZ"/>
              </w:rPr>
              <w:t xml:space="preserve">СБеО-ға шалдыққан пациенттерде әр 3 апта сайын 600 мг дозада т/а Герцептин </w:t>
            </w:r>
          </w:p>
        </w:tc>
        <w:tc>
          <w:tcPr>
            <w:tcW w:w="1566" w:type="dxa"/>
            <w:shd w:val="clear" w:color="auto" w:fill="auto"/>
          </w:tcPr>
          <w:p w:rsidR="0050122F" w:rsidRPr="005F36B9" w:rsidRDefault="0050122F" w:rsidP="0050122F">
            <w:pPr>
              <w:pStyle w:val="ac"/>
              <w:spacing w:before="0" w:beforeAutospacing="0" w:after="120" w:afterAutospacing="0"/>
              <w:jc w:val="center"/>
              <w:rPr>
                <w:rFonts w:ascii="Arial" w:hAnsi="Arial" w:cs="Arial"/>
                <w:spacing w:val="-4"/>
                <w:lang w:val="ru-RU"/>
              </w:rPr>
            </w:pPr>
            <w:r w:rsidRPr="005F36B9">
              <w:rPr>
                <w:spacing w:val="-4"/>
                <w:lang w:val="kk-KZ"/>
              </w:rPr>
              <w:t>1-ші цикл</w:t>
            </w:r>
          </w:p>
        </w:tc>
        <w:tc>
          <w:tcPr>
            <w:tcW w:w="576" w:type="dxa"/>
            <w:shd w:val="clear" w:color="auto" w:fill="auto"/>
            <w:vAlign w:val="center"/>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297</w:t>
            </w:r>
          </w:p>
        </w:tc>
        <w:tc>
          <w:tcPr>
            <w:tcW w:w="1694" w:type="dxa"/>
            <w:shd w:val="clear" w:color="auto" w:fill="auto"/>
            <w:vAlign w:val="center"/>
          </w:tcPr>
          <w:p w:rsidR="0050122F" w:rsidRPr="005F36B9" w:rsidRDefault="0050122F" w:rsidP="0050122F">
            <w:pPr>
              <w:pStyle w:val="Default"/>
              <w:jc w:val="center"/>
              <w:rPr>
                <w:color w:val="auto"/>
                <w:spacing w:val="-4"/>
              </w:rPr>
            </w:pPr>
            <w:r w:rsidRPr="005F36B9">
              <w:rPr>
                <w:color w:val="auto"/>
                <w:spacing w:val="-4"/>
                <w:lang w:val="kk-KZ"/>
              </w:rPr>
              <w:t>28.2</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(14.8 - 40.9)</w:t>
            </w:r>
          </w:p>
        </w:tc>
        <w:tc>
          <w:tcPr>
            <w:tcW w:w="1701" w:type="dxa"/>
            <w:shd w:val="clear" w:color="auto" w:fill="auto"/>
            <w:vAlign w:val="center"/>
          </w:tcPr>
          <w:p w:rsidR="0050122F" w:rsidRPr="005F36B9" w:rsidRDefault="0050122F" w:rsidP="0050122F">
            <w:pPr>
              <w:pStyle w:val="Default"/>
              <w:jc w:val="center"/>
              <w:rPr>
                <w:color w:val="auto"/>
                <w:spacing w:val="-4"/>
              </w:rPr>
            </w:pPr>
            <w:r w:rsidRPr="005F36B9">
              <w:rPr>
                <w:color w:val="auto"/>
                <w:spacing w:val="-4"/>
                <w:lang w:val="kk-KZ"/>
              </w:rPr>
              <w:t>79.3</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(56.1 - 109)</w:t>
            </w:r>
          </w:p>
        </w:tc>
        <w:tc>
          <w:tcPr>
            <w:tcW w:w="1814" w:type="dxa"/>
            <w:shd w:val="clear" w:color="auto" w:fill="auto"/>
            <w:vAlign w:val="center"/>
          </w:tcPr>
          <w:p w:rsidR="0050122F" w:rsidRPr="005F36B9" w:rsidRDefault="0050122F" w:rsidP="0050122F">
            <w:pPr>
              <w:pStyle w:val="Default"/>
              <w:jc w:val="center"/>
              <w:rPr>
                <w:color w:val="auto"/>
                <w:spacing w:val="-4"/>
              </w:rPr>
            </w:pPr>
            <w:r w:rsidRPr="005F36B9">
              <w:rPr>
                <w:color w:val="auto"/>
                <w:spacing w:val="-4"/>
                <w:lang w:val="kk-KZ"/>
              </w:rPr>
              <w:t>1065</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(718 - 1504)</w:t>
            </w:r>
          </w:p>
        </w:tc>
      </w:tr>
      <w:tr w:rsidR="0050122F" w:rsidRPr="005F36B9" w:rsidTr="0050122F">
        <w:trPr>
          <w:trHeight w:val="1429"/>
        </w:trPr>
        <w:tc>
          <w:tcPr>
            <w:tcW w:w="1721" w:type="dxa"/>
            <w:vMerge/>
            <w:shd w:val="clear" w:color="auto" w:fill="auto"/>
          </w:tcPr>
          <w:p w:rsidR="0050122F" w:rsidRPr="005F36B9" w:rsidRDefault="0050122F" w:rsidP="0050122F">
            <w:pPr>
              <w:pStyle w:val="ac"/>
              <w:spacing w:before="0" w:beforeAutospacing="0" w:after="120" w:afterAutospacing="0"/>
              <w:rPr>
                <w:rFonts w:ascii="Arial" w:hAnsi="Arial" w:cs="Arial"/>
                <w:spacing w:val="-4"/>
                <w:lang w:val="ru-RU"/>
              </w:rPr>
            </w:pPr>
          </w:p>
        </w:tc>
        <w:tc>
          <w:tcPr>
            <w:tcW w:w="1566" w:type="dxa"/>
            <w:shd w:val="clear" w:color="auto" w:fill="auto"/>
          </w:tcPr>
          <w:p w:rsidR="0050122F" w:rsidRPr="005F36B9" w:rsidRDefault="0050122F" w:rsidP="0050122F">
            <w:pPr>
              <w:pStyle w:val="ac"/>
              <w:spacing w:before="0" w:beforeAutospacing="0" w:after="120" w:afterAutospacing="0"/>
              <w:jc w:val="center"/>
              <w:rPr>
                <w:rFonts w:ascii="Arial" w:hAnsi="Arial" w:cs="Arial"/>
                <w:spacing w:val="-4"/>
                <w:lang w:val="ru-RU"/>
              </w:rPr>
            </w:pPr>
            <w:r w:rsidRPr="005F36B9">
              <w:rPr>
                <w:spacing w:val="-4"/>
                <w:lang w:val="kk-KZ"/>
              </w:rPr>
              <w:t>7-ші цикл (тепе-теңдік жағдайы)</w:t>
            </w:r>
          </w:p>
        </w:tc>
        <w:tc>
          <w:tcPr>
            <w:tcW w:w="576" w:type="dxa"/>
            <w:shd w:val="clear" w:color="auto" w:fill="auto"/>
            <w:vAlign w:val="center"/>
          </w:tcPr>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97</w:t>
            </w:r>
          </w:p>
        </w:tc>
        <w:tc>
          <w:tcPr>
            <w:tcW w:w="1694" w:type="dxa"/>
            <w:shd w:val="clear" w:color="auto" w:fill="auto"/>
            <w:vAlign w:val="center"/>
          </w:tcPr>
          <w:p w:rsidR="0050122F" w:rsidRPr="005F36B9" w:rsidRDefault="0050122F" w:rsidP="0050122F">
            <w:pPr>
              <w:pStyle w:val="Default"/>
              <w:jc w:val="center"/>
              <w:rPr>
                <w:color w:val="auto"/>
                <w:spacing w:val="-4"/>
              </w:rPr>
            </w:pPr>
            <w:r w:rsidRPr="005F36B9">
              <w:rPr>
                <w:color w:val="auto"/>
                <w:spacing w:val="-4"/>
                <w:lang w:val="kk-KZ"/>
              </w:rPr>
              <w:t>75.0</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(35.1 - 123)</w:t>
            </w:r>
          </w:p>
        </w:tc>
        <w:tc>
          <w:tcPr>
            <w:tcW w:w="1701" w:type="dxa"/>
            <w:shd w:val="clear" w:color="auto" w:fill="auto"/>
            <w:vAlign w:val="center"/>
          </w:tcPr>
          <w:p w:rsidR="0050122F" w:rsidRPr="005F36B9" w:rsidRDefault="0050122F" w:rsidP="0050122F">
            <w:pPr>
              <w:pStyle w:val="Default"/>
              <w:jc w:val="center"/>
              <w:rPr>
                <w:color w:val="auto"/>
                <w:spacing w:val="-4"/>
              </w:rPr>
            </w:pPr>
            <w:r w:rsidRPr="005F36B9">
              <w:rPr>
                <w:color w:val="auto"/>
                <w:spacing w:val="-4"/>
                <w:lang w:val="kk-KZ"/>
              </w:rPr>
              <w:t>149</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(86.1 - 214)</w:t>
            </w:r>
          </w:p>
        </w:tc>
        <w:tc>
          <w:tcPr>
            <w:tcW w:w="1814" w:type="dxa"/>
            <w:shd w:val="clear" w:color="auto" w:fill="auto"/>
            <w:vAlign w:val="center"/>
          </w:tcPr>
          <w:p w:rsidR="0050122F" w:rsidRPr="005F36B9" w:rsidRDefault="0050122F" w:rsidP="0050122F">
            <w:pPr>
              <w:pStyle w:val="Default"/>
              <w:jc w:val="center"/>
              <w:rPr>
                <w:color w:val="auto"/>
                <w:spacing w:val="-4"/>
              </w:rPr>
            </w:pPr>
            <w:r w:rsidRPr="005F36B9">
              <w:rPr>
                <w:color w:val="auto"/>
                <w:spacing w:val="-4"/>
                <w:lang w:val="kk-KZ"/>
              </w:rPr>
              <w:t>2337</w:t>
            </w:r>
          </w:p>
          <w:p w:rsidR="0050122F" w:rsidRPr="005F36B9" w:rsidRDefault="0050122F" w:rsidP="0050122F">
            <w:pPr>
              <w:pStyle w:val="ac"/>
              <w:spacing w:before="0" w:beforeAutospacing="0" w:after="0" w:afterAutospacing="0"/>
              <w:jc w:val="center"/>
              <w:rPr>
                <w:spacing w:val="-4"/>
                <w:lang w:val="ru-RU"/>
              </w:rPr>
            </w:pPr>
            <w:r w:rsidRPr="005F36B9">
              <w:rPr>
                <w:spacing w:val="-4"/>
                <w:lang w:val="kk-KZ"/>
              </w:rPr>
              <w:t>(1258 - 3478)</w:t>
            </w:r>
          </w:p>
        </w:tc>
      </w:tr>
    </w:tbl>
    <w:p w:rsidR="0050122F" w:rsidRPr="005F36B9" w:rsidRDefault="0050122F" w:rsidP="0050122F">
      <w:pPr>
        <w:pStyle w:val="ac"/>
        <w:spacing w:before="0" w:beforeAutospacing="0" w:after="0" w:afterAutospacing="0"/>
        <w:jc w:val="both"/>
        <w:rPr>
          <w:spacing w:val="-4"/>
          <w:lang w:val="ru-RU"/>
        </w:rPr>
      </w:pPr>
    </w:p>
    <w:p w:rsidR="0050122F" w:rsidRPr="005F36B9" w:rsidRDefault="0050122F" w:rsidP="0050122F">
      <w:pPr>
        <w:pStyle w:val="ac"/>
        <w:spacing w:before="0" w:beforeAutospacing="0" w:after="0" w:afterAutospacing="0"/>
        <w:jc w:val="both"/>
        <w:rPr>
          <w:i/>
          <w:spacing w:val="-4"/>
          <w:lang w:val="ru-RU"/>
        </w:rPr>
      </w:pPr>
      <w:r w:rsidRPr="005F36B9">
        <w:rPr>
          <w:i/>
          <w:spacing w:val="-4"/>
          <w:lang w:val="kk-KZ"/>
        </w:rPr>
        <w:t>Трастузумабтың элиминациясы</w:t>
      </w:r>
    </w:p>
    <w:p w:rsidR="0050122F" w:rsidRPr="005F36B9" w:rsidRDefault="00BE373E" w:rsidP="0050122F">
      <w:pPr>
        <w:pStyle w:val="ac"/>
        <w:spacing w:before="0" w:beforeAutospacing="0" w:after="0" w:afterAutospacing="0"/>
        <w:jc w:val="both"/>
        <w:rPr>
          <w:spacing w:val="-4"/>
          <w:lang w:val="kk-KZ"/>
        </w:rPr>
      </w:pPr>
      <w:r w:rsidRPr="005F36B9">
        <w:rPr>
          <w:spacing w:val="-4"/>
          <w:lang w:val="kk-KZ"/>
        </w:rPr>
        <w:t xml:space="preserve">Трастузумабтың </w:t>
      </w:r>
      <w:r w:rsidR="0050122F" w:rsidRPr="005F36B9">
        <w:rPr>
          <w:spacing w:val="-4"/>
          <w:lang w:val="kk-KZ"/>
        </w:rPr>
        <w:t>тері астына енгізуге арналған дәрілік түрін қолданғаннан кейін трастузумабтың шайылу кезеңі популяциялық фармакокинетикалық модельді пайдалана отырып, бағаланды. Модельдеу нәтижелері пациенттердің кемінде 95%-ында қан сарысуындағы трастузумабтың концентрациясы 7 айға &lt;1 мкг/мл (тепе-теңдік күйіндегі есептелген ең төмен концентрацияның шамамен 3%-ды құрайды (C</w:t>
      </w:r>
      <w:r w:rsidR="0050122F" w:rsidRPr="005F36B9">
        <w:rPr>
          <w:spacing w:val="-4"/>
          <w:vertAlign w:val="subscript"/>
          <w:lang w:val="kk-KZ"/>
        </w:rPr>
        <w:t>min,ss</w:t>
      </w:r>
      <w:r w:rsidR="0050122F" w:rsidRPr="005F36B9">
        <w:rPr>
          <w:spacing w:val="-4"/>
          <w:lang w:val="kk-KZ"/>
        </w:rPr>
        <w:t>) немесе препараттың 97% шығарылуына сәйкес келе</w:t>
      </w:r>
      <w:r w:rsidR="003819F2" w:rsidRPr="005F36B9">
        <w:rPr>
          <w:spacing w:val="-4"/>
          <w:lang w:val="kk-KZ"/>
        </w:rPr>
        <w:t>тін</w:t>
      </w:r>
      <w:r w:rsidR="0050122F" w:rsidRPr="005F36B9">
        <w:rPr>
          <w:spacing w:val="-4"/>
          <w:lang w:val="kk-KZ"/>
        </w:rPr>
        <w:t>) мәніне жететінін көрсетті.</w:t>
      </w:r>
    </w:p>
    <w:p w:rsidR="0050122F" w:rsidRPr="005F36B9" w:rsidRDefault="0050122F" w:rsidP="0050122F">
      <w:pPr>
        <w:jc w:val="both"/>
        <w:rPr>
          <w:b/>
          <w:spacing w:val="-4"/>
          <w:lang w:val="kk-KZ"/>
        </w:rPr>
      </w:pPr>
    </w:p>
    <w:p w:rsidR="0050122F" w:rsidRPr="005F36B9" w:rsidRDefault="0050122F" w:rsidP="0050122F">
      <w:pPr>
        <w:jc w:val="both"/>
        <w:rPr>
          <w:b/>
          <w:spacing w:val="-4"/>
          <w:lang w:val="kk-KZ"/>
        </w:rPr>
      </w:pPr>
      <w:r w:rsidRPr="005F36B9">
        <w:rPr>
          <w:b/>
          <w:spacing w:val="-4"/>
          <w:lang w:val="kk-KZ"/>
        </w:rPr>
        <w:t>5.3 Клиникаға дейінгі қауіпсіздік деректері</w:t>
      </w:r>
    </w:p>
    <w:p w:rsidR="0050122F" w:rsidRPr="005F36B9" w:rsidRDefault="0050122F" w:rsidP="0050122F">
      <w:pPr>
        <w:pStyle w:val="ac"/>
        <w:spacing w:before="0" w:beforeAutospacing="0" w:after="0" w:afterAutospacing="0"/>
        <w:rPr>
          <w:i/>
          <w:spacing w:val="-4"/>
          <w:lang w:val="kk-KZ" w:eastAsia="ja-JP"/>
        </w:rPr>
      </w:pPr>
      <w:r w:rsidRPr="005F36B9">
        <w:rPr>
          <w:i/>
          <w:spacing w:val="-4"/>
          <w:lang w:val="kk-KZ" w:eastAsia="ja-JP"/>
        </w:rPr>
        <w:t xml:space="preserve">Вена ішіне енгізуге арналған </w:t>
      </w:r>
      <w:r w:rsidR="00BF1259" w:rsidRPr="005F36B9">
        <w:rPr>
          <w:i/>
          <w:spacing w:val="-4"/>
          <w:lang w:val="kk-KZ" w:eastAsia="ja-JP"/>
        </w:rPr>
        <w:t xml:space="preserve">дәрілік түрдегі </w:t>
      </w:r>
      <w:r w:rsidR="00BE373E" w:rsidRPr="005F36B9">
        <w:rPr>
          <w:i/>
          <w:spacing w:val="-4"/>
          <w:lang w:val="kk-KZ" w:eastAsia="ja-JP"/>
        </w:rPr>
        <w:t>трастузумаб</w:t>
      </w:r>
    </w:p>
    <w:p w:rsidR="0050122F" w:rsidRPr="005F36B9" w:rsidRDefault="0050122F" w:rsidP="0050122F">
      <w:pPr>
        <w:pStyle w:val="ac"/>
        <w:spacing w:before="0" w:beforeAutospacing="0" w:after="0" w:afterAutospacing="0"/>
        <w:jc w:val="both"/>
        <w:rPr>
          <w:rFonts w:ascii="Arial" w:hAnsi="Arial" w:cs="Arial"/>
          <w:spacing w:val="-4"/>
          <w:lang w:val="kk-KZ"/>
        </w:rPr>
      </w:pPr>
      <w:r w:rsidRPr="005F36B9">
        <w:rPr>
          <w:spacing w:val="-4"/>
          <w:lang w:val="kk-KZ"/>
        </w:rPr>
        <w:t xml:space="preserve">Ұзақтығы 6 айға дейін созылған зерттеулерде тератогендік, репродуктивтік уыттылық немесе кеш гестациялық уыттылық/трансплацентарлық тасымалдау зерттеулерінде дозаны немесе репродуктивтік уыттылықты қайта енгізу кезіндегі жедел уыттылық немесе уыттылық дәлелдері әйелдерде табылған жоқ. </w:t>
      </w:r>
      <w:r w:rsidR="00BE373E" w:rsidRPr="005F36B9">
        <w:rPr>
          <w:spacing w:val="-4"/>
          <w:lang w:val="kk-KZ"/>
        </w:rPr>
        <w:t xml:space="preserve">Трастузумабтың </w:t>
      </w:r>
      <w:r w:rsidRPr="005F36B9">
        <w:rPr>
          <w:spacing w:val="-4"/>
          <w:lang w:val="kk-KZ"/>
        </w:rPr>
        <w:t>геноуытты әлеуеті жоқ. Негізгі қосымша зат болып табылатын трегалозаны зерттеу қандай да бір уытты әсерлерді анықтамады.</w:t>
      </w:r>
    </w:p>
    <w:p w:rsidR="0050122F" w:rsidRPr="005F36B9" w:rsidRDefault="00BE373E" w:rsidP="0050122F">
      <w:pPr>
        <w:pStyle w:val="ac"/>
        <w:spacing w:before="0" w:beforeAutospacing="0" w:after="0" w:afterAutospacing="0"/>
        <w:jc w:val="both"/>
        <w:rPr>
          <w:spacing w:val="-4"/>
          <w:lang w:val="kk-KZ"/>
        </w:rPr>
      </w:pPr>
      <w:r w:rsidRPr="005F36B9">
        <w:rPr>
          <w:spacing w:val="-4"/>
          <w:lang w:val="kk-KZ"/>
        </w:rPr>
        <w:t xml:space="preserve">Трастузумабтың </w:t>
      </w:r>
      <w:r w:rsidR="0050122F" w:rsidRPr="005F36B9">
        <w:rPr>
          <w:spacing w:val="-4"/>
          <w:lang w:val="kk-KZ"/>
        </w:rPr>
        <w:t>канцерогендік қасиеттерін немесе оның еркектердегі фертильділікке әсерін анықтау мақсатында жануарларға ұзақ мерзімді зерттеулер жүргізілмеген.</w:t>
      </w:r>
    </w:p>
    <w:p w:rsidR="0050122F" w:rsidRPr="005F36B9" w:rsidRDefault="0050122F" w:rsidP="0050122F">
      <w:pPr>
        <w:pStyle w:val="ac"/>
        <w:spacing w:before="0" w:beforeAutospacing="0" w:after="0" w:afterAutospacing="0"/>
        <w:jc w:val="both"/>
        <w:rPr>
          <w:i/>
          <w:spacing w:val="-4"/>
          <w:lang w:val="kk-KZ" w:eastAsia="ja-JP"/>
        </w:rPr>
      </w:pPr>
      <w:r w:rsidRPr="005F36B9">
        <w:rPr>
          <w:i/>
          <w:spacing w:val="-4"/>
          <w:lang w:val="kk-KZ" w:eastAsia="ja-JP"/>
        </w:rPr>
        <w:lastRenderedPageBreak/>
        <w:t xml:space="preserve">Тері астына енгізуге арналған </w:t>
      </w:r>
      <w:r w:rsidR="00BF1259" w:rsidRPr="005F36B9">
        <w:rPr>
          <w:i/>
          <w:spacing w:val="-4"/>
          <w:lang w:val="kk-KZ" w:eastAsia="ja-JP"/>
        </w:rPr>
        <w:t xml:space="preserve">дәрілік түрдегі </w:t>
      </w:r>
      <w:r w:rsidR="00D23989" w:rsidRPr="005F36B9">
        <w:rPr>
          <w:i/>
          <w:spacing w:val="-4"/>
          <w:lang w:val="kk-KZ" w:eastAsia="ja-JP"/>
        </w:rPr>
        <w:t>т</w:t>
      </w:r>
      <w:r w:rsidR="009B5444" w:rsidRPr="005F36B9">
        <w:rPr>
          <w:i/>
          <w:spacing w:val="-4"/>
          <w:lang w:val="kk-KZ" w:eastAsia="ja-JP"/>
        </w:rPr>
        <w:t>растузумаб</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 xml:space="preserve">Үй қояндарында дозаларды бір рет енгізген кезде уыттылық зерттеуі және явалық макакаларда дозаларды қайта енгізген кезде уыттылық бойынша 13 апталық зерттеу жүргізілді. Үй қояндарындағы зерттеу тікелей жергілікті тітіркендіргіш әсерді зерттеу үшін жүргізілді. 13 апталық зерттеу енгізу тәсілін өзгерту және жаңа қосымша затты – рекомбинантты адам гиалуронидазасын (rHuPH20) пайдалану </w:t>
      </w:r>
      <w:r w:rsidR="00D23989" w:rsidRPr="005F36B9">
        <w:rPr>
          <w:spacing w:val="-4"/>
          <w:lang w:val="kk-KZ"/>
        </w:rPr>
        <w:t xml:space="preserve">трастузумабтың </w:t>
      </w:r>
      <w:r w:rsidRPr="005F36B9">
        <w:rPr>
          <w:spacing w:val="-4"/>
          <w:lang w:val="kk-KZ"/>
        </w:rPr>
        <w:t xml:space="preserve">қауіпсіздік сипаттамаларына әсер етпейтінін растау үшін жүргізілді. Тері астына енгізуге арналған </w:t>
      </w:r>
      <w:r w:rsidR="00BF1259" w:rsidRPr="005F36B9">
        <w:rPr>
          <w:spacing w:val="-4"/>
          <w:lang w:val="kk-KZ"/>
        </w:rPr>
        <w:t xml:space="preserve">дәрілік түрдегі </w:t>
      </w:r>
      <w:r w:rsidR="00D23989" w:rsidRPr="005F36B9">
        <w:rPr>
          <w:spacing w:val="-4"/>
          <w:lang w:val="kk-KZ"/>
        </w:rPr>
        <w:t xml:space="preserve">трастузумабты </w:t>
      </w:r>
      <w:r w:rsidRPr="005F36B9">
        <w:rPr>
          <w:spacing w:val="-4"/>
          <w:lang w:val="kk-KZ"/>
        </w:rPr>
        <w:t>жергілікті және жүйелі түрде жағымды болды.</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Гиалуронидаза адам организмінің көптеген тіндерінде кездеседі. Фармакологиялық қауіпсіздікті бағалаудың соңғы нүктелерін қоса, дозаларды қайта енгізу кезіндегі уыттылықтың стандартты клиникаға дейінгі зерттеулері адамдар үшін рекомбинантты адам гиалуронидазасын қолдану нәтижесінде ерекше қауіптерді анықтаған жоқ. rHuPH20 репродуктивті уыттылығын зерттеу тышқандарда жоғары жүйелік экспозиция кезінде эмбриофетальді уыттылықты анықтады, бірақ тератогендік әлеуетті көрсетпеді.</w:t>
      </w:r>
    </w:p>
    <w:p w:rsidR="0050122F" w:rsidRPr="005F36B9" w:rsidRDefault="0050122F" w:rsidP="0050122F">
      <w:pPr>
        <w:jc w:val="both"/>
        <w:rPr>
          <w:spacing w:val="-4"/>
          <w:lang w:val="kk-KZ" w:eastAsia="ru-RU"/>
        </w:rPr>
      </w:pPr>
    </w:p>
    <w:p w:rsidR="0050122F" w:rsidRPr="005F36B9" w:rsidRDefault="0050122F" w:rsidP="0050122F">
      <w:pPr>
        <w:rPr>
          <w:rFonts w:eastAsia="TimesNewRomanPSMT"/>
          <w:b/>
          <w:spacing w:val="-4"/>
          <w:lang w:val="kk-KZ"/>
        </w:rPr>
      </w:pPr>
      <w:r w:rsidRPr="005F36B9">
        <w:rPr>
          <w:b/>
          <w:color w:val="000000" w:themeColor="text1"/>
          <w:spacing w:val="-4"/>
          <w:lang w:val="kk-KZ"/>
        </w:rPr>
        <w:t xml:space="preserve">6. </w:t>
      </w:r>
      <w:r w:rsidRPr="005F36B9">
        <w:rPr>
          <w:rFonts w:eastAsia="TimesNewRomanPSMT"/>
          <w:b/>
          <w:spacing w:val="-4"/>
          <w:lang w:val="kk-KZ"/>
        </w:rPr>
        <w:t xml:space="preserve">ФАРМАЦЕВТИКАЛЫҚ ҚАСИЕТТЕРІ </w:t>
      </w:r>
    </w:p>
    <w:p w:rsidR="0050122F" w:rsidRPr="005F36B9" w:rsidRDefault="0050122F" w:rsidP="0050122F">
      <w:pPr>
        <w:keepLines/>
        <w:rPr>
          <w:b/>
          <w:color w:val="000000" w:themeColor="text1"/>
          <w:spacing w:val="-4"/>
          <w:lang w:val="kk-KZ"/>
        </w:rPr>
      </w:pPr>
      <w:r w:rsidRPr="005F36B9">
        <w:rPr>
          <w:b/>
          <w:spacing w:val="-4"/>
          <w:lang w:val="kk-KZ"/>
        </w:rPr>
        <w:t xml:space="preserve">6.1. </w:t>
      </w:r>
      <w:r w:rsidRPr="005F36B9">
        <w:rPr>
          <w:rFonts w:eastAsia="TimesNewRomanPSMT"/>
          <w:b/>
          <w:spacing w:val="-4"/>
          <w:lang w:val="kk-KZ"/>
        </w:rPr>
        <w:t>Қосымша заттар тізбесі</w:t>
      </w:r>
    </w:p>
    <w:p w:rsidR="00DE6729" w:rsidRPr="005F36B9" w:rsidRDefault="00DE6729" w:rsidP="00DE6729">
      <w:pPr>
        <w:widowControl/>
        <w:autoSpaceDE/>
        <w:autoSpaceDN/>
        <w:adjustRightInd/>
        <w:jc w:val="both"/>
        <w:rPr>
          <w:rFonts w:eastAsia="Calibri"/>
          <w:spacing w:val="-4"/>
          <w:lang w:val="kk-KZ"/>
        </w:rPr>
      </w:pPr>
      <w:r w:rsidRPr="005F36B9">
        <w:rPr>
          <w:color w:val="000000"/>
          <w:sz w:val="28"/>
          <w:szCs w:val="28"/>
          <w:lang w:val="kk-KZ"/>
        </w:rPr>
        <w:t>ҚР НҚ СӘЙКЕС</w:t>
      </w:r>
    </w:p>
    <w:p w:rsidR="0050122F" w:rsidRPr="005F36B9" w:rsidRDefault="0050122F" w:rsidP="0050122F">
      <w:pPr>
        <w:jc w:val="both"/>
        <w:rPr>
          <w:b/>
          <w:spacing w:val="-4"/>
          <w:lang w:val="kk-KZ"/>
        </w:rPr>
      </w:pPr>
      <w:r w:rsidRPr="005F36B9">
        <w:rPr>
          <w:b/>
          <w:spacing w:val="-4"/>
          <w:lang w:val="kk-KZ"/>
        </w:rPr>
        <w:t>6.2 Үйлесімсіздігі</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 xml:space="preserve">Тері астына енгізуге арналған </w:t>
      </w:r>
      <w:r w:rsidR="00BF1259" w:rsidRPr="005F36B9">
        <w:rPr>
          <w:spacing w:val="-4"/>
          <w:lang w:val="kk-KZ"/>
        </w:rPr>
        <w:t xml:space="preserve">дәрілік түрдегі </w:t>
      </w:r>
      <w:r w:rsidR="00D23989" w:rsidRPr="005F36B9">
        <w:rPr>
          <w:spacing w:val="-4"/>
          <w:lang w:val="kk-KZ"/>
        </w:rPr>
        <w:t xml:space="preserve">трастузумабты </w:t>
      </w:r>
      <w:r w:rsidRPr="005F36B9">
        <w:rPr>
          <w:spacing w:val="-4"/>
          <w:lang w:val="kk-KZ"/>
        </w:rPr>
        <w:t xml:space="preserve">қолдануға дайын </w:t>
      </w:r>
      <w:r w:rsidR="007D115D" w:rsidRPr="005F36B9">
        <w:rPr>
          <w:spacing w:val="-4"/>
          <w:lang w:val="kk-KZ"/>
        </w:rPr>
        <w:t>ерітуге немесе басқа дәрілік препа</w:t>
      </w:r>
      <w:r w:rsidR="007D115D" w:rsidRPr="005F36B9">
        <w:rPr>
          <w:spacing w:val="-4"/>
          <w:lang w:val="kk-KZ"/>
        </w:rPr>
        <w:t xml:space="preserve">раттармен араластыруға болмайтын </w:t>
      </w:r>
      <w:r w:rsidRPr="005F36B9">
        <w:rPr>
          <w:spacing w:val="-4"/>
          <w:lang w:val="kk-KZ"/>
        </w:rPr>
        <w:t>ерітінді болып табылады</w:t>
      </w:r>
      <w:r w:rsidR="007D115D" w:rsidRPr="005F36B9">
        <w:rPr>
          <w:spacing w:val="-4"/>
          <w:lang w:val="kk-KZ"/>
        </w:rPr>
        <w:t xml:space="preserve">. </w:t>
      </w:r>
      <w:r w:rsidRPr="005F36B9">
        <w:rPr>
          <w:spacing w:val="-4"/>
          <w:lang w:val="kk-KZ"/>
        </w:rPr>
        <w:t xml:space="preserve"> </w:t>
      </w:r>
    </w:p>
    <w:p w:rsidR="0050122F" w:rsidRPr="005F36B9" w:rsidRDefault="0050122F" w:rsidP="0050122F">
      <w:pPr>
        <w:pStyle w:val="ac"/>
        <w:spacing w:before="0" w:beforeAutospacing="0" w:after="0" w:afterAutospacing="0"/>
        <w:jc w:val="both"/>
        <w:rPr>
          <w:spacing w:val="-4"/>
          <w:lang w:val="kk-KZ"/>
        </w:rPr>
      </w:pPr>
      <w:r w:rsidRPr="005F36B9">
        <w:rPr>
          <w:spacing w:val="-4"/>
          <w:lang w:val="kk-KZ"/>
        </w:rPr>
        <w:t xml:space="preserve">Тері астына енгізуге арналған </w:t>
      </w:r>
      <w:r w:rsidR="00D23989" w:rsidRPr="005F36B9">
        <w:rPr>
          <w:spacing w:val="-4"/>
          <w:lang w:val="kk-KZ"/>
        </w:rPr>
        <w:t>трастузумабп</w:t>
      </w:r>
      <w:r w:rsidRPr="005F36B9">
        <w:rPr>
          <w:spacing w:val="-4"/>
          <w:lang w:val="kk-KZ"/>
        </w:rPr>
        <w:t>ен полипропиленнен немесе поликарбонаттан жасалған шприцтер, тасымалдауға арналған инелер және тот баспайтын болаттан жасалған инъекциялық инелер және полиэтиленнен жасалған Луер қорғаныш қалпақшасы арасында үйлесімсіздік белгілері анықталған жоқ.</w:t>
      </w:r>
    </w:p>
    <w:p w:rsidR="0050122F" w:rsidRPr="005F36B9" w:rsidRDefault="0050122F" w:rsidP="0050122F">
      <w:pPr>
        <w:jc w:val="both"/>
        <w:rPr>
          <w:b/>
          <w:spacing w:val="-4"/>
          <w:lang w:val="kk-KZ"/>
        </w:rPr>
      </w:pPr>
      <w:r w:rsidRPr="005F36B9">
        <w:rPr>
          <w:b/>
          <w:spacing w:val="-4"/>
          <w:lang w:val="kk-KZ"/>
        </w:rPr>
        <w:t xml:space="preserve">6.3 Жарамдылық мерзімі </w:t>
      </w:r>
    </w:p>
    <w:p w:rsidR="00A17301" w:rsidRPr="005F36B9" w:rsidRDefault="00A17301" w:rsidP="00A17301">
      <w:pPr>
        <w:widowControl/>
        <w:autoSpaceDE/>
        <w:autoSpaceDN/>
        <w:adjustRightInd/>
        <w:jc w:val="both"/>
        <w:rPr>
          <w:rFonts w:eastAsia="Calibri"/>
          <w:spacing w:val="-4"/>
          <w:lang w:val="kk-KZ"/>
        </w:rPr>
      </w:pPr>
      <w:r w:rsidRPr="005F36B9">
        <w:rPr>
          <w:color w:val="000000"/>
          <w:sz w:val="28"/>
          <w:szCs w:val="28"/>
          <w:lang w:val="kk-KZ"/>
        </w:rPr>
        <w:t>ҚР НҚ СӘЙКЕС</w:t>
      </w:r>
    </w:p>
    <w:p w:rsidR="0050122F" w:rsidRPr="005F36B9" w:rsidRDefault="0050122F" w:rsidP="0050122F">
      <w:pPr>
        <w:keepLines/>
        <w:rPr>
          <w:color w:val="000000" w:themeColor="text1"/>
          <w:spacing w:val="-4"/>
          <w:lang w:val="kk-KZ"/>
        </w:rPr>
      </w:pPr>
      <w:r w:rsidRPr="005F36B9">
        <w:rPr>
          <w:spacing w:val="-4"/>
          <w:lang w:val="kk-KZ"/>
        </w:rPr>
        <w:t>Жарамдылық мерзімі өткеннен кейін қолдануға болмайды</w:t>
      </w:r>
      <w:r w:rsidRPr="005F36B9">
        <w:rPr>
          <w:color w:val="000000" w:themeColor="text1"/>
          <w:spacing w:val="-4"/>
          <w:lang w:val="kk-KZ"/>
        </w:rPr>
        <w:t>.</w:t>
      </w:r>
    </w:p>
    <w:p w:rsidR="0050122F" w:rsidRPr="005F36B9" w:rsidRDefault="0050122F" w:rsidP="0050122F">
      <w:pPr>
        <w:jc w:val="both"/>
        <w:rPr>
          <w:b/>
          <w:color w:val="FF0000"/>
          <w:spacing w:val="-4"/>
          <w:lang w:val="kk-KZ"/>
        </w:rPr>
      </w:pPr>
      <w:r w:rsidRPr="005F36B9">
        <w:rPr>
          <w:b/>
          <w:spacing w:val="-4"/>
          <w:lang w:val="kk-KZ"/>
        </w:rPr>
        <w:t>6.4 </w:t>
      </w:r>
      <w:r w:rsidRPr="005F36B9">
        <w:rPr>
          <w:b/>
          <w:spacing w:val="-4"/>
          <w:lang w:val="kk-KZ" w:bidi="ru-RU"/>
        </w:rPr>
        <w:t>Сақтау кезіндегі ерекше сақтық шаралары</w:t>
      </w:r>
    </w:p>
    <w:p w:rsidR="00A17301" w:rsidRPr="005F36B9" w:rsidRDefault="00A17301" w:rsidP="00A17301">
      <w:pPr>
        <w:widowControl/>
        <w:autoSpaceDE/>
        <w:autoSpaceDN/>
        <w:adjustRightInd/>
        <w:jc w:val="both"/>
        <w:rPr>
          <w:rFonts w:eastAsia="Calibri"/>
          <w:spacing w:val="-4"/>
          <w:lang w:val="kk-KZ"/>
        </w:rPr>
      </w:pPr>
      <w:r w:rsidRPr="005F36B9">
        <w:rPr>
          <w:color w:val="000000"/>
          <w:sz w:val="28"/>
          <w:szCs w:val="28"/>
          <w:lang w:val="kk-KZ"/>
        </w:rPr>
        <w:t>ҚР НҚ СӘЙКЕС</w:t>
      </w:r>
    </w:p>
    <w:p w:rsidR="0050122F" w:rsidRPr="005F36B9" w:rsidRDefault="0050122F" w:rsidP="0050122F">
      <w:pPr>
        <w:keepLines/>
        <w:jc w:val="both"/>
        <w:rPr>
          <w:color w:val="000000" w:themeColor="text1"/>
          <w:spacing w:val="-4"/>
          <w:lang w:val="kk-KZ"/>
        </w:rPr>
      </w:pPr>
      <w:r w:rsidRPr="005F36B9">
        <w:rPr>
          <w:spacing w:val="-4"/>
          <w:lang w:val="kk-KZ"/>
        </w:rPr>
        <w:t>Балалардың қолы жетпейтін жерде сақтау керек</w:t>
      </w:r>
      <w:r w:rsidRPr="005F36B9">
        <w:rPr>
          <w:color w:val="000000" w:themeColor="text1"/>
          <w:spacing w:val="-4"/>
          <w:lang w:val="kk-KZ"/>
        </w:rPr>
        <w:t>!</w:t>
      </w:r>
    </w:p>
    <w:p w:rsidR="0050122F" w:rsidRPr="005F36B9" w:rsidRDefault="0050122F" w:rsidP="0050122F">
      <w:pPr>
        <w:jc w:val="both"/>
        <w:rPr>
          <w:b/>
          <w:spacing w:val="-4"/>
          <w:lang w:val="kk-KZ"/>
        </w:rPr>
      </w:pPr>
      <w:r w:rsidRPr="005F36B9">
        <w:rPr>
          <w:b/>
          <w:spacing w:val="-4"/>
          <w:lang w:val="kk-KZ"/>
        </w:rPr>
        <w:t xml:space="preserve">6.5 Шығарылу түрі және қаптамасы </w:t>
      </w:r>
    </w:p>
    <w:p w:rsidR="0050122F" w:rsidRPr="005F36B9" w:rsidRDefault="00EB4EFB" w:rsidP="00EB4EFB">
      <w:pPr>
        <w:widowControl/>
        <w:autoSpaceDE/>
        <w:autoSpaceDN/>
        <w:adjustRightInd/>
        <w:jc w:val="both"/>
        <w:rPr>
          <w:rFonts w:eastAsia="Calibri"/>
          <w:spacing w:val="-4"/>
          <w:lang w:val="kk-KZ"/>
        </w:rPr>
      </w:pPr>
      <w:r w:rsidRPr="005F36B9">
        <w:rPr>
          <w:color w:val="000000"/>
          <w:sz w:val="28"/>
          <w:szCs w:val="28"/>
          <w:lang w:val="kk-KZ"/>
        </w:rPr>
        <w:t>ҚР НҚ СӘЙКЕС</w:t>
      </w:r>
    </w:p>
    <w:p w:rsidR="0050122F" w:rsidRPr="005F36B9" w:rsidRDefault="0050122F" w:rsidP="0050122F">
      <w:pPr>
        <w:pStyle w:val="a7"/>
        <w:jc w:val="both"/>
        <w:rPr>
          <w:rFonts w:ascii="Times New Roman" w:hAnsi="Times New Roman"/>
          <w:b/>
          <w:spacing w:val="-4"/>
          <w:sz w:val="24"/>
          <w:szCs w:val="24"/>
          <w:lang w:val="kk-KZ"/>
        </w:rPr>
      </w:pPr>
      <w:r w:rsidRPr="005F36B9">
        <w:rPr>
          <w:rFonts w:ascii="Times New Roman" w:hAnsi="Times New Roman"/>
          <w:b/>
          <w:spacing w:val="-4"/>
          <w:sz w:val="24"/>
          <w:szCs w:val="24"/>
          <w:lang w:val="kk-KZ"/>
        </w:rPr>
        <w:t>6.6 </w:t>
      </w:r>
      <w:r w:rsidRPr="005F36B9">
        <w:rPr>
          <w:rFonts w:ascii="Times New Roman" w:hAnsi="Times New Roman"/>
          <w:b/>
          <w:bCs/>
          <w:spacing w:val="-4"/>
          <w:sz w:val="24"/>
          <w:szCs w:val="24"/>
          <w:lang w:val="kk-KZ"/>
        </w:rPr>
        <w:t>Пайдаланылған дәрілік препаратты немесе дәрілік препаратты қолданудан немесе онымен жұмыс істеуден кейін жою кезіндегі айрықша сақтандыру шаралары</w:t>
      </w:r>
    </w:p>
    <w:p w:rsidR="0050122F" w:rsidRPr="005F36B9" w:rsidRDefault="0050122F" w:rsidP="0050122F">
      <w:pPr>
        <w:pStyle w:val="a7"/>
        <w:jc w:val="both"/>
        <w:rPr>
          <w:rFonts w:ascii="Times New Roman" w:eastAsia="TimesNewRomanPSMT" w:hAnsi="Times New Roman"/>
          <w:spacing w:val="-4"/>
          <w:sz w:val="24"/>
          <w:szCs w:val="24"/>
          <w:lang w:val="kk-KZ"/>
        </w:rPr>
      </w:pPr>
      <w:r w:rsidRPr="005F36B9">
        <w:rPr>
          <w:rFonts w:ascii="Times New Roman" w:eastAsia="TimesNewRomanPSMT" w:hAnsi="Times New Roman"/>
          <w:spacing w:val="-4"/>
          <w:sz w:val="24"/>
          <w:szCs w:val="24"/>
          <w:lang w:val="kk-KZ"/>
        </w:rPr>
        <w:t xml:space="preserve">Дәрілік препараттың кез келген пайдаланылмаған мөлшерін </w:t>
      </w:r>
      <w:r w:rsidRPr="005F36B9">
        <w:rPr>
          <w:rFonts w:ascii="Times New Roman" w:hAnsi="Times New Roman"/>
          <w:spacing w:val="-4"/>
          <w:sz w:val="24"/>
          <w:szCs w:val="24"/>
          <w:lang w:val="kk-KZ"/>
        </w:rPr>
        <w:t>немесе қалдықтарын белгіленген тәртіппен жою керек.</w:t>
      </w:r>
    </w:p>
    <w:p w:rsidR="0050122F" w:rsidRPr="005F36B9" w:rsidRDefault="0050122F" w:rsidP="0050122F">
      <w:pPr>
        <w:pStyle w:val="a7"/>
        <w:jc w:val="both"/>
        <w:rPr>
          <w:rFonts w:ascii="Times New Roman" w:hAnsi="Times New Roman"/>
          <w:b/>
          <w:bCs/>
          <w:spacing w:val="-4"/>
          <w:sz w:val="24"/>
          <w:szCs w:val="24"/>
          <w:lang w:val="kk-KZ"/>
        </w:rPr>
      </w:pPr>
      <w:r w:rsidRPr="005F36B9">
        <w:rPr>
          <w:rFonts w:ascii="Times New Roman" w:hAnsi="Times New Roman"/>
          <w:b/>
          <w:spacing w:val="-4"/>
          <w:sz w:val="24"/>
          <w:szCs w:val="24"/>
          <w:lang w:val="kk-KZ"/>
        </w:rPr>
        <w:t xml:space="preserve">6.7 </w:t>
      </w:r>
      <w:r w:rsidRPr="005F36B9">
        <w:rPr>
          <w:rFonts w:ascii="Times New Roman" w:hAnsi="Times New Roman"/>
          <w:b/>
          <w:bCs/>
          <w:spacing w:val="-4"/>
          <w:sz w:val="24"/>
          <w:szCs w:val="24"/>
          <w:lang w:val="kk-KZ"/>
        </w:rPr>
        <w:t>Дәріханалардан босатылу шарттары</w:t>
      </w:r>
    </w:p>
    <w:p w:rsidR="0050122F" w:rsidRPr="005F36B9" w:rsidRDefault="0050122F" w:rsidP="0050122F">
      <w:pPr>
        <w:pStyle w:val="a7"/>
        <w:jc w:val="both"/>
        <w:rPr>
          <w:rFonts w:ascii="Times New Roman" w:hAnsi="Times New Roman"/>
          <w:bCs/>
          <w:spacing w:val="-4"/>
          <w:sz w:val="24"/>
          <w:szCs w:val="24"/>
          <w:lang w:val="kk-KZ"/>
        </w:rPr>
      </w:pPr>
      <w:bookmarkStart w:id="17" w:name="_Hlk63949524"/>
      <w:r w:rsidRPr="005F36B9">
        <w:rPr>
          <w:rFonts w:ascii="Times New Roman" w:hAnsi="Times New Roman"/>
          <w:bCs/>
          <w:spacing w:val="-4"/>
          <w:sz w:val="24"/>
          <w:szCs w:val="24"/>
          <w:lang w:val="kk-KZ"/>
        </w:rPr>
        <w:t>Рецепт арқылы</w:t>
      </w:r>
    </w:p>
    <w:bookmarkEnd w:id="17"/>
    <w:p w:rsidR="0050122F" w:rsidRPr="005F36B9" w:rsidRDefault="0050122F" w:rsidP="0050122F">
      <w:pPr>
        <w:pStyle w:val="a7"/>
        <w:jc w:val="both"/>
        <w:rPr>
          <w:rFonts w:ascii="Times New Roman" w:hAnsi="Times New Roman"/>
          <w:b/>
          <w:spacing w:val="-4"/>
          <w:sz w:val="24"/>
          <w:szCs w:val="24"/>
          <w:lang w:val="kk-KZ"/>
        </w:rPr>
      </w:pPr>
    </w:p>
    <w:p w:rsidR="0050122F" w:rsidRPr="005F36B9" w:rsidRDefault="0050122F" w:rsidP="0050122F">
      <w:pPr>
        <w:pStyle w:val="a7"/>
        <w:jc w:val="both"/>
        <w:rPr>
          <w:rFonts w:ascii="Times New Roman" w:hAnsi="Times New Roman"/>
          <w:b/>
          <w:spacing w:val="-4"/>
          <w:sz w:val="24"/>
          <w:szCs w:val="24"/>
          <w:lang w:val="kk-KZ"/>
        </w:rPr>
      </w:pPr>
      <w:r w:rsidRPr="005F36B9">
        <w:rPr>
          <w:rFonts w:ascii="Times New Roman" w:hAnsi="Times New Roman"/>
          <w:b/>
          <w:spacing w:val="-4"/>
          <w:sz w:val="24"/>
          <w:szCs w:val="24"/>
          <w:lang w:val="kk-KZ"/>
        </w:rPr>
        <w:t>7. ТІРКЕУ КУӘЛІГІНІҢ ҰСТАУШЫСЫ</w:t>
      </w:r>
    </w:p>
    <w:p w:rsidR="00A17301" w:rsidRPr="005F36B9" w:rsidRDefault="00A17301" w:rsidP="00A17301">
      <w:pPr>
        <w:pStyle w:val="a7"/>
        <w:jc w:val="both"/>
        <w:rPr>
          <w:rFonts w:ascii="Times New Roman" w:hAnsi="Times New Roman"/>
          <w:spacing w:val="-4"/>
          <w:sz w:val="24"/>
          <w:szCs w:val="28"/>
          <w:lang w:val="kk-KZ" w:eastAsia="en-US"/>
        </w:rPr>
      </w:pPr>
      <w:r w:rsidRPr="005F36B9">
        <w:rPr>
          <w:rFonts w:ascii="Times New Roman" w:hAnsi="Times New Roman"/>
          <w:spacing w:val="-4"/>
          <w:sz w:val="24"/>
          <w:szCs w:val="28"/>
          <w:lang w:val="kk-KZ" w:eastAsia="en-US"/>
        </w:rPr>
        <w:t>[Ұлттық деңгейде толтырылады]</w:t>
      </w:r>
    </w:p>
    <w:p w:rsidR="007F6D8E" w:rsidRPr="005F36B9" w:rsidRDefault="007F6D8E" w:rsidP="0050122F">
      <w:pPr>
        <w:pStyle w:val="a7"/>
        <w:jc w:val="both"/>
        <w:rPr>
          <w:rFonts w:ascii="Times New Roman" w:hAnsi="Times New Roman"/>
          <w:color w:val="FF0000"/>
          <w:spacing w:val="-4"/>
          <w:sz w:val="24"/>
          <w:szCs w:val="24"/>
          <w:lang w:val="kk-KZ"/>
        </w:rPr>
      </w:pPr>
    </w:p>
    <w:p w:rsidR="0050122F" w:rsidRPr="005F36B9" w:rsidRDefault="0050122F" w:rsidP="0050122F">
      <w:pPr>
        <w:pStyle w:val="a7"/>
        <w:jc w:val="both"/>
        <w:rPr>
          <w:rFonts w:ascii="Times New Roman" w:hAnsi="Times New Roman"/>
          <w:b/>
          <w:spacing w:val="-4"/>
          <w:sz w:val="24"/>
          <w:szCs w:val="24"/>
          <w:lang w:val="kk-KZ"/>
        </w:rPr>
      </w:pPr>
      <w:r w:rsidRPr="005F36B9">
        <w:rPr>
          <w:rFonts w:ascii="Times New Roman" w:hAnsi="Times New Roman"/>
          <w:b/>
          <w:spacing w:val="-4"/>
          <w:sz w:val="24"/>
          <w:szCs w:val="24"/>
          <w:lang w:val="kk-KZ"/>
        </w:rPr>
        <w:t>7.1 ТІРКЕУ КУӘЛІГІ ҰСТАУШЫСЫНЫҢ ӨКІЛІ</w:t>
      </w:r>
    </w:p>
    <w:p w:rsidR="00A17301" w:rsidRPr="005F36B9" w:rsidRDefault="00A17301" w:rsidP="00A17301">
      <w:pPr>
        <w:pStyle w:val="a7"/>
        <w:jc w:val="both"/>
        <w:rPr>
          <w:rFonts w:ascii="Times New Roman" w:hAnsi="Times New Roman"/>
          <w:spacing w:val="-4"/>
          <w:sz w:val="24"/>
          <w:szCs w:val="28"/>
          <w:lang w:val="kk-KZ" w:eastAsia="en-US"/>
        </w:rPr>
      </w:pPr>
      <w:r w:rsidRPr="005F36B9">
        <w:rPr>
          <w:rFonts w:ascii="Times New Roman" w:hAnsi="Times New Roman"/>
          <w:spacing w:val="-4"/>
          <w:sz w:val="24"/>
          <w:szCs w:val="28"/>
          <w:lang w:val="kk-KZ" w:eastAsia="en-US"/>
        </w:rPr>
        <w:t>[Ұлттық деңгейде толтырылады]</w:t>
      </w:r>
    </w:p>
    <w:p w:rsidR="00007CC0" w:rsidRPr="005F36B9" w:rsidRDefault="00007CC0" w:rsidP="0050122F">
      <w:pPr>
        <w:pStyle w:val="a7"/>
        <w:jc w:val="both"/>
        <w:rPr>
          <w:rFonts w:ascii="Times New Roman" w:hAnsi="Times New Roman"/>
          <w:spacing w:val="-4"/>
          <w:sz w:val="24"/>
          <w:szCs w:val="24"/>
          <w:lang w:val="kk-KZ"/>
        </w:rPr>
      </w:pPr>
    </w:p>
    <w:p w:rsidR="0050122F" w:rsidRPr="005F36B9" w:rsidRDefault="0050122F" w:rsidP="0050122F">
      <w:pPr>
        <w:pStyle w:val="a7"/>
        <w:jc w:val="both"/>
        <w:rPr>
          <w:rFonts w:ascii="Times New Roman" w:hAnsi="Times New Roman"/>
          <w:b/>
          <w:spacing w:val="-4"/>
          <w:sz w:val="24"/>
          <w:szCs w:val="24"/>
          <w:lang w:val="kk-KZ"/>
        </w:rPr>
      </w:pPr>
      <w:r w:rsidRPr="005F36B9">
        <w:rPr>
          <w:rFonts w:ascii="Times New Roman" w:hAnsi="Times New Roman"/>
          <w:b/>
          <w:spacing w:val="-4"/>
          <w:sz w:val="24"/>
          <w:szCs w:val="24"/>
          <w:lang w:val="kk-KZ"/>
        </w:rPr>
        <w:t>8. </w:t>
      </w:r>
      <w:r w:rsidRPr="005F36B9">
        <w:rPr>
          <w:rFonts w:ascii="Times New Roman" w:hAnsi="Times New Roman"/>
          <w:b/>
          <w:bCs/>
          <w:spacing w:val="-4"/>
          <w:sz w:val="24"/>
          <w:szCs w:val="24"/>
          <w:lang w:val="kk-KZ"/>
        </w:rPr>
        <w:t>ТІРКЕУ КУӘЛІГІНІҢ НӨМІРІ</w:t>
      </w:r>
    </w:p>
    <w:p w:rsidR="00007CC0" w:rsidRPr="005F36B9" w:rsidRDefault="00007CC0" w:rsidP="0050122F">
      <w:pPr>
        <w:pStyle w:val="a7"/>
        <w:jc w:val="both"/>
        <w:rPr>
          <w:rFonts w:ascii="Times New Roman" w:hAnsi="Times New Roman"/>
          <w:spacing w:val="-4"/>
          <w:sz w:val="24"/>
          <w:szCs w:val="28"/>
          <w:lang w:val="kk-KZ" w:eastAsia="en-US"/>
        </w:rPr>
      </w:pPr>
      <w:r w:rsidRPr="005F36B9">
        <w:rPr>
          <w:rFonts w:ascii="Times New Roman" w:hAnsi="Times New Roman"/>
          <w:spacing w:val="-4"/>
          <w:sz w:val="24"/>
          <w:szCs w:val="28"/>
          <w:lang w:val="kk-KZ" w:eastAsia="en-US"/>
        </w:rPr>
        <w:t>[Ұлттық деңгейде толтырылады]</w:t>
      </w:r>
    </w:p>
    <w:p w:rsidR="0050122F" w:rsidRPr="005F36B9" w:rsidRDefault="0050122F" w:rsidP="0050122F">
      <w:pPr>
        <w:pStyle w:val="a7"/>
        <w:jc w:val="both"/>
        <w:rPr>
          <w:rFonts w:ascii="Times New Roman" w:hAnsi="Times New Roman"/>
          <w:b/>
          <w:spacing w:val="-4"/>
          <w:sz w:val="24"/>
          <w:szCs w:val="24"/>
          <w:lang w:val="kk-KZ"/>
        </w:rPr>
      </w:pPr>
      <w:r w:rsidRPr="005F36B9">
        <w:rPr>
          <w:rFonts w:ascii="Times New Roman" w:hAnsi="Times New Roman"/>
          <w:b/>
          <w:caps/>
          <w:spacing w:val="-4"/>
          <w:sz w:val="24"/>
          <w:szCs w:val="24"/>
          <w:lang w:val="kk-KZ"/>
        </w:rPr>
        <w:t>9. </w:t>
      </w:r>
      <w:r w:rsidRPr="005F36B9">
        <w:rPr>
          <w:rFonts w:ascii="Times New Roman" w:hAnsi="Times New Roman"/>
          <w:b/>
          <w:bCs/>
          <w:spacing w:val="-4"/>
          <w:sz w:val="24"/>
          <w:szCs w:val="24"/>
          <w:lang w:val="kk-KZ"/>
        </w:rPr>
        <w:t>БАСТАПҚЫ ТІРКЕЛГЕН (ТІРКЕУДІ, ҚАЙТА ТІРКЕУДІ РАСТАУ) КҮНІ</w:t>
      </w:r>
    </w:p>
    <w:p w:rsidR="0050122F" w:rsidRPr="005F36B9" w:rsidRDefault="0050122F" w:rsidP="0050122F">
      <w:pPr>
        <w:pStyle w:val="a7"/>
        <w:jc w:val="both"/>
        <w:rPr>
          <w:rFonts w:ascii="Times New Roman" w:hAnsi="Times New Roman"/>
          <w:spacing w:val="-4"/>
          <w:sz w:val="24"/>
          <w:szCs w:val="24"/>
          <w:lang w:val="kk-KZ"/>
        </w:rPr>
      </w:pPr>
      <w:r w:rsidRPr="005F36B9">
        <w:rPr>
          <w:rFonts w:ascii="Times New Roman" w:hAnsi="Times New Roman"/>
          <w:spacing w:val="-4"/>
          <w:sz w:val="24"/>
          <w:szCs w:val="24"/>
          <w:lang w:val="kk-KZ"/>
        </w:rPr>
        <w:t>Бірінші тіркеу күні:</w:t>
      </w:r>
      <w:r w:rsidR="00007CC0" w:rsidRPr="005F36B9">
        <w:rPr>
          <w:lang w:val="kk-KZ"/>
        </w:rPr>
        <w:t xml:space="preserve"> </w:t>
      </w:r>
      <w:r w:rsidR="00007CC0" w:rsidRPr="005F36B9">
        <w:rPr>
          <w:rFonts w:ascii="Times New Roman" w:hAnsi="Times New Roman"/>
          <w:spacing w:val="-4"/>
          <w:sz w:val="24"/>
          <w:szCs w:val="24"/>
          <w:lang w:val="kk-KZ"/>
        </w:rPr>
        <w:t>[Ұлттық деңгейде толтырылады]</w:t>
      </w:r>
    </w:p>
    <w:p w:rsidR="0050122F" w:rsidRPr="005F36B9" w:rsidRDefault="0050122F" w:rsidP="0050122F">
      <w:pPr>
        <w:pStyle w:val="a7"/>
        <w:jc w:val="both"/>
        <w:rPr>
          <w:rFonts w:ascii="Times New Roman" w:hAnsi="Times New Roman"/>
          <w:spacing w:val="-4"/>
          <w:sz w:val="24"/>
          <w:szCs w:val="24"/>
          <w:lang w:val="kk-KZ"/>
        </w:rPr>
      </w:pPr>
      <w:r w:rsidRPr="005F36B9">
        <w:rPr>
          <w:rFonts w:ascii="Times New Roman" w:hAnsi="Times New Roman"/>
          <w:spacing w:val="-4"/>
          <w:sz w:val="24"/>
          <w:szCs w:val="24"/>
          <w:lang w:val="kk-KZ"/>
        </w:rPr>
        <w:t xml:space="preserve">Қайта тіркеуді растау күні: </w:t>
      </w:r>
    </w:p>
    <w:p w:rsidR="0050122F" w:rsidRPr="005F36B9" w:rsidRDefault="0050122F" w:rsidP="0050122F">
      <w:pPr>
        <w:pStyle w:val="a7"/>
        <w:jc w:val="both"/>
        <w:rPr>
          <w:rFonts w:ascii="Times New Roman" w:hAnsi="Times New Roman"/>
          <w:caps/>
          <w:color w:val="FF0000"/>
          <w:spacing w:val="-4"/>
          <w:sz w:val="24"/>
          <w:szCs w:val="24"/>
          <w:lang w:val="kk-KZ"/>
        </w:rPr>
      </w:pPr>
    </w:p>
    <w:p w:rsidR="0050122F" w:rsidRPr="005F36B9" w:rsidRDefault="0050122F" w:rsidP="0050122F">
      <w:pPr>
        <w:pStyle w:val="a7"/>
        <w:jc w:val="both"/>
        <w:rPr>
          <w:rFonts w:ascii="Times New Roman" w:hAnsi="Times New Roman"/>
          <w:b/>
          <w:spacing w:val="-4"/>
          <w:sz w:val="24"/>
          <w:szCs w:val="24"/>
          <w:lang w:val="kk-KZ"/>
        </w:rPr>
      </w:pPr>
      <w:r w:rsidRPr="005F36B9">
        <w:rPr>
          <w:rFonts w:ascii="Times New Roman" w:hAnsi="Times New Roman"/>
          <w:b/>
          <w:caps/>
          <w:spacing w:val="-4"/>
          <w:sz w:val="24"/>
          <w:szCs w:val="24"/>
          <w:lang w:val="kk-KZ"/>
        </w:rPr>
        <w:lastRenderedPageBreak/>
        <w:t>10. </w:t>
      </w:r>
      <w:r w:rsidRPr="005F36B9">
        <w:rPr>
          <w:rFonts w:ascii="Times New Roman" w:hAnsi="Times New Roman"/>
          <w:b/>
          <w:spacing w:val="-4"/>
          <w:sz w:val="24"/>
          <w:szCs w:val="24"/>
          <w:lang w:val="kk-KZ"/>
        </w:rPr>
        <w:t>МӘТІНІ ҚАЙТА ҚАРАЛҒАН КҮН</w:t>
      </w:r>
    </w:p>
    <w:p w:rsidR="0050122F" w:rsidRPr="003A4EC7" w:rsidRDefault="0050122F" w:rsidP="0050122F">
      <w:pPr>
        <w:jc w:val="both"/>
        <w:rPr>
          <w:spacing w:val="-4"/>
          <w:lang w:val="uk-UA"/>
        </w:rPr>
      </w:pPr>
      <w:r w:rsidRPr="005F36B9">
        <w:rPr>
          <w:rFonts w:eastAsia="TimesNewRomanPSMT"/>
          <w:spacing w:val="-4"/>
          <w:lang w:val="uk-UA"/>
        </w:rPr>
        <w:t>Д</w:t>
      </w:r>
      <w:r w:rsidRPr="005F36B9">
        <w:rPr>
          <w:rFonts w:eastAsia="TimesNewRomanPSMT"/>
          <w:spacing w:val="-4"/>
          <w:lang w:val="kk-KZ"/>
        </w:rPr>
        <w:t>әрілік п</w:t>
      </w:r>
      <w:r w:rsidRPr="005F36B9">
        <w:rPr>
          <w:rFonts w:eastAsia="TimesNewRomanPSMT"/>
          <w:spacing w:val="-4"/>
          <w:lang w:val="uk-UA"/>
        </w:rPr>
        <w:t>репарат</w:t>
      </w:r>
      <w:r w:rsidRPr="005F36B9">
        <w:rPr>
          <w:rFonts w:eastAsia="TimesNewRomanPSMT"/>
          <w:spacing w:val="-4"/>
          <w:lang w:val="kk-KZ"/>
        </w:rPr>
        <w:t xml:space="preserve">тың жалпы сипаттамасын </w:t>
      </w:r>
      <w:hyperlink r:id="rId10" w:history="1">
        <w:r w:rsidRPr="005F36B9">
          <w:rPr>
            <w:rStyle w:val="af5"/>
            <w:spacing w:val="-4"/>
            <w:lang w:val="kk-KZ"/>
          </w:rPr>
          <w:t>http</w:t>
        </w:r>
        <w:r w:rsidRPr="005F36B9">
          <w:rPr>
            <w:rStyle w:val="af5"/>
            <w:spacing w:val="-4"/>
            <w:lang w:val="uk-UA"/>
          </w:rPr>
          <w:t>://</w:t>
        </w:r>
        <w:r w:rsidRPr="005F36B9">
          <w:rPr>
            <w:rStyle w:val="af5"/>
            <w:spacing w:val="-4"/>
            <w:lang w:val="kk-KZ"/>
          </w:rPr>
          <w:t>www</w:t>
        </w:r>
        <w:r w:rsidRPr="005F36B9">
          <w:rPr>
            <w:rStyle w:val="af5"/>
            <w:spacing w:val="-4"/>
            <w:lang w:val="uk-UA"/>
          </w:rPr>
          <w:t>.</w:t>
        </w:r>
        <w:r w:rsidRPr="005F36B9">
          <w:rPr>
            <w:rStyle w:val="af5"/>
            <w:spacing w:val="-4"/>
            <w:lang w:val="kk-KZ"/>
          </w:rPr>
          <w:t>ndda</w:t>
        </w:r>
        <w:r w:rsidRPr="005F36B9">
          <w:rPr>
            <w:rStyle w:val="af5"/>
            <w:spacing w:val="-4"/>
            <w:lang w:val="uk-UA"/>
          </w:rPr>
          <w:t>.</w:t>
        </w:r>
        <w:r w:rsidRPr="005F36B9">
          <w:rPr>
            <w:rStyle w:val="af5"/>
            <w:spacing w:val="-4"/>
            <w:lang w:val="kk-KZ"/>
          </w:rPr>
          <w:t>kz</w:t>
        </w:r>
      </w:hyperlink>
      <w:r w:rsidRPr="005F36B9">
        <w:rPr>
          <w:rStyle w:val="af5"/>
          <w:spacing w:val="-4"/>
          <w:lang w:val="kk-KZ"/>
        </w:rPr>
        <w:t>ресми</w:t>
      </w:r>
      <w:r w:rsidRPr="005F36B9">
        <w:rPr>
          <w:rFonts w:eastAsia="TimesNewRomanPSMT"/>
          <w:spacing w:val="-4"/>
          <w:lang w:val="uk-UA"/>
        </w:rPr>
        <w:t>сайтынан көруге болады</w:t>
      </w:r>
    </w:p>
    <w:p w:rsidR="0050122F" w:rsidRPr="0050122F" w:rsidRDefault="0050122F" w:rsidP="00697D19">
      <w:pPr>
        <w:ind w:right="-20"/>
        <w:jc w:val="both"/>
        <w:rPr>
          <w:spacing w:val="-4"/>
          <w:lang w:val="uk-UA" w:eastAsia="ja-JP"/>
        </w:rPr>
      </w:pPr>
    </w:p>
    <w:sectPr w:rsidR="0050122F" w:rsidRPr="0050122F" w:rsidSect="00D23989">
      <w:headerReference w:type="default" r:id="rId11"/>
      <w:footerReference w:type="default" r:id="rId12"/>
      <w:pgSz w:w="11900" w:h="16820"/>
      <w:pgMar w:top="1134" w:right="1134" w:bottom="1134" w:left="1701" w:header="0" w:footer="6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D8B" w:rsidRDefault="00595D8B">
      <w:r>
        <w:separator/>
      </w:r>
    </w:p>
  </w:endnote>
  <w:endnote w:type="continuationSeparator" w:id="0">
    <w:p w:rsidR="00595D8B" w:rsidRDefault="0059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00" w:rsidRDefault="00F43D00">
    <w:pPr>
      <w:pStyle w:val="a4"/>
      <w:spacing w:line="14" w:lineRule="auto"/>
      <w:ind w:left="0"/>
      <w:rPr>
        <w:rFonts w:ascii="Verdana" w:hAnsi="Verdana"/>
        <w:b/>
        <w:bCs/>
        <w:color w:val="000000"/>
        <w:sz w:val="18"/>
        <w:szCs w:val="18"/>
        <w:shd w:val="clear" w:color="auto" w:fill="FFFFFF"/>
      </w:rPr>
    </w:pPr>
  </w:p>
  <w:p w:rsidR="00F43D00" w:rsidRDefault="00F43D00">
    <w:pPr>
      <w:pStyle w:val="a4"/>
      <w:spacing w:line="14" w:lineRule="auto"/>
      <w:ind w:left="0"/>
      <w:rPr>
        <w:rFonts w:ascii="Verdana" w:hAnsi="Verdana"/>
        <w:b/>
        <w:bCs/>
        <w:color w:val="000000"/>
        <w:sz w:val="18"/>
        <w:szCs w:val="18"/>
        <w:shd w:val="clear" w:color="auto" w:fill="FFFFFF"/>
      </w:rPr>
    </w:pPr>
  </w:p>
  <w:p w:rsidR="00F43D00" w:rsidRDefault="00F43D00">
    <w:pPr>
      <w:pStyle w:val="a4"/>
      <w:spacing w:line="14" w:lineRule="auto"/>
      <w:ind w:left="0"/>
      <w:rPr>
        <w:rFonts w:ascii="Verdana" w:hAnsi="Verdana"/>
        <w:b/>
        <w:bCs/>
        <w:color w:val="000000"/>
        <w:sz w:val="18"/>
        <w:szCs w:val="18"/>
        <w:shd w:val="clear" w:color="auto" w:fill="FFFFFF"/>
      </w:rPr>
    </w:pPr>
  </w:p>
  <w:p w:rsidR="00F43D00" w:rsidRDefault="00F43D00">
    <w:pPr>
      <w:pStyle w:val="a4"/>
      <w:spacing w:line="14" w:lineRule="auto"/>
      <w:ind w:left="0"/>
      <w:rPr>
        <w:rFonts w:ascii="Verdana" w:hAnsi="Verdana"/>
        <w:b/>
        <w:bCs/>
        <w:color w:val="000000"/>
        <w:sz w:val="18"/>
        <w:szCs w:val="18"/>
        <w:shd w:val="clear" w:color="auto" w:fil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D8B" w:rsidRDefault="00595D8B">
      <w:r>
        <w:separator/>
      </w:r>
    </w:p>
  </w:footnote>
  <w:footnote w:type="continuationSeparator" w:id="0">
    <w:p w:rsidR="00595D8B" w:rsidRDefault="00595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89" w:rsidRDefault="00D23989" w:rsidP="00D23989">
    <w:pPr>
      <w:pStyle w:val="a8"/>
      <w:jc w:val="right"/>
      <w:rPr>
        <w:b/>
        <w:lang w:val="kk-KZ"/>
      </w:rPr>
    </w:pPr>
  </w:p>
  <w:p w:rsidR="00F43D00" w:rsidRDefault="00D23989" w:rsidP="00D23989">
    <w:pPr>
      <w:pStyle w:val="a8"/>
      <w:jc w:val="right"/>
    </w:pPr>
    <w:r>
      <w:rPr>
        <w:b/>
        <w:lang w:val="kk-KZ"/>
      </w:rPr>
      <w:t>Нұсқа</w:t>
    </w:r>
    <w:r w:rsidRPr="0026073C">
      <w:rPr>
        <w:b/>
      </w:rPr>
      <w:t xml:space="preserve"> 1  </w:t>
    </w:r>
    <w:r>
      <w:rPr>
        <w:b/>
        <w:lang w:val="kk-KZ"/>
      </w:rPr>
      <w:t xml:space="preserve">Жаңартылған күні </w:t>
    </w:r>
    <w:r w:rsidRPr="0026073C">
      <w:rPr>
        <w:b/>
      </w:rPr>
      <w:t xml:space="preserve"> </w:t>
    </w:r>
    <w:r>
      <w:rPr>
        <w:b/>
        <w:lang w:val="ru-RU"/>
      </w:rPr>
      <w:t>14</w:t>
    </w:r>
    <w:r w:rsidRPr="0026073C">
      <w:rPr>
        <w:b/>
      </w:rPr>
      <w:t>.1</w:t>
    </w:r>
    <w:r>
      <w:rPr>
        <w:b/>
        <w:lang w:val="ru-RU"/>
      </w:rPr>
      <w:t>1</w:t>
    </w:r>
    <w:r w:rsidRPr="0026073C">
      <w:rPr>
        <w:b/>
      </w:rPr>
      <w:t>.2022</w:t>
    </w:r>
    <w:r w:rsidR="00595D8B">
      <w:rPr>
        <w:noProof/>
        <w:lang w:val="ru-RU" w:eastAsia="ru-RU"/>
      </w:rPr>
      <w:pict>
        <v:shapetype id="_x0000_t202" coordsize="21600,21600" o:spt="202" path="m,l,21600r21600,l21600,xe">
          <v:stroke joinstyle="miter"/>
          <v:path gradientshapeok="t" o:connecttype="rect"/>
        </v:shapetype>
        <v:shape id="Поле 2" o:spid="_x0000_s2049" type="#_x0000_t202" style="position:absolute;left:0;text-align:left;margin-left:479.95pt;margin-top:84.1pt;width:30pt;height:294.3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" filled="f" stroked="f" strokeweight=".5pt">
          <v:textbox style="layout-flow:vertical;mso-layout-flow-alt:bottom-to-top">
            <w:txbxContent>
              <w:p w:rsidR="00F43D00" w:rsidRPr="00A606D1" w:rsidRDefault="00F43D00">
                <w:pPr>
                  <w:rPr>
                    <w:color w:val="0C0000"/>
                    <w:sz w:val="14"/>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CCF"/>
    <w:multiLevelType w:val="hybridMultilevel"/>
    <w:tmpl w:val="3F6C68E8"/>
    <w:lvl w:ilvl="0" w:tplc="A5541C66">
      <w:start w:val="1"/>
      <w:numFmt w:val="bullet"/>
      <w:pStyle w:val="a"/>
      <w:lvlText w:val=""/>
      <w:lvlJc w:val="left"/>
      <w:pPr>
        <w:tabs>
          <w:tab w:val="num" w:pos="432"/>
        </w:tabs>
        <w:ind w:left="432" w:hanging="432"/>
      </w:pPr>
      <w:rPr>
        <w:rFonts w:ascii="Symbol" w:hAnsi="Symbol" w:hint="default"/>
      </w:rPr>
    </w:lvl>
    <w:lvl w:ilvl="1" w:tplc="E2CC6576" w:tentative="1">
      <w:start w:val="1"/>
      <w:numFmt w:val="bullet"/>
      <w:lvlText w:val="o"/>
      <w:lvlJc w:val="left"/>
      <w:pPr>
        <w:tabs>
          <w:tab w:val="num" w:pos="1440"/>
        </w:tabs>
        <w:ind w:left="1440" w:hanging="360"/>
      </w:pPr>
      <w:rPr>
        <w:rFonts w:ascii="Courier New" w:hAnsi="Courier New" w:cs="Courier New" w:hint="default"/>
      </w:rPr>
    </w:lvl>
    <w:lvl w:ilvl="2" w:tplc="FF3075E8" w:tentative="1">
      <w:start w:val="1"/>
      <w:numFmt w:val="bullet"/>
      <w:lvlText w:val=""/>
      <w:lvlJc w:val="left"/>
      <w:pPr>
        <w:tabs>
          <w:tab w:val="num" w:pos="2160"/>
        </w:tabs>
        <w:ind w:left="2160" w:hanging="360"/>
      </w:pPr>
      <w:rPr>
        <w:rFonts w:ascii="Wingdings" w:hAnsi="Wingdings" w:hint="default"/>
      </w:rPr>
    </w:lvl>
    <w:lvl w:ilvl="3" w:tplc="A12C9A76" w:tentative="1">
      <w:start w:val="1"/>
      <w:numFmt w:val="bullet"/>
      <w:lvlText w:val=""/>
      <w:lvlJc w:val="left"/>
      <w:pPr>
        <w:tabs>
          <w:tab w:val="num" w:pos="2880"/>
        </w:tabs>
        <w:ind w:left="2880" w:hanging="360"/>
      </w:pPr>
      <w:rPr>
        <w:rFonts w:ascii="Symbol" w:hAnsi="Symbol" w:hint="default"/>
      </w:rPr>
    </w:lvl>
    <w:lvl w:ilvl="4" w:tplc="0BBECFBE" w:tentative="1">
      <w:start w:val="1"/>
      <w:numFmt w:val="bullet"/>
      <w:lvlText w:val="o"/>
      <w:lvlJc w:val="left"/>
      <w:pPr>
        <w:tabs>
          <w:tab w:val="num" w:pos="3600"/>
        </w:tabs>
        <w:ind w:left="3600" w:hanging="360"/>
      </w:pPr>
      <w:rPr>
        <w:rFonts w:ascii="Courier New" w:hAnsi="Courier New" w:cs="Courier New" w:hint="default"/>
      </w:rPr>
    </w:lvl>
    <w:lvl w:ilvl="5" w:tplc="2F78814E" w:tentative="1">
      <w:start w:val="1"/>
      <w:numFmt w:val="bullet"/>
      <w:lvlText w:val=""/>
      <w:lvlJc w:val="left"/>
      <w:pPr>
        <w:tabs>
          <w:tab w:val="num" w:pos="4320"/>
        </w:tabs>
        <w:ind w:left="4320" w:hanging="360"/>
      </w:pPr>
      <w:rPr>
        <w:rFonts w:ascii="Wingdings" w:hAnsi="Wingdings" w:hint="default"/>
      </w:rPr>
    </w:lvl>
    <w:lvl w:ilvl="6" w:tplc="08283CE0" w:tentative="1">
      <w:start w:val="1"/>
      <w:numFmt w:val="bullet"/>
      <w:lvlText w:val=""/>
      <w:lvlJc w:val="left"/>
      <w:pPr>
        <w:tabs>
          <w:tab w:val="num" w:pos="5040"/>
        </w:tabs>
        <w:ind w:left="5040" w:hanging="360"/>
      </w:pPr>
      <w:rPr>
        <w:rFonts w:ascii="Symbol" w:hAnsi="Symbol" w:hint="default"/>
      </w:rPr>
    </w:lvl>
    <w:lvl w:ilvl="7" w:tplc="CF84A0A2" w:tentative="1">
      <w:start w:val="1"/>
      <w:numFmt w:val="bullet"/>
      <w:lvlText w:val="o"/>
      <w:lvlJc w:val="left"/>
      <w:pPr>
        <w:tabs>
          <w:tab w:val="num" w:pos="5760"/>
        </w:tabs>
        <w:ind w:left="5760" w:hanging="360"/>
      </w:pPr>
      <w:rPr>
        <w:rFonts w:ascii="Courier New" w:hAnsi="Courier New" w:cs="Courier New" w:hint="default"/>
      </w:rPr>
    </w:lvl>
    <w:lvl w:ilvl="8" w:tplc="02E456BC" w:tentative="1">
      <w:start w:val="1"/>
      <w:numFmt w:val="bullet"/>
      <w:lvlText w:val=""/>
      <w:lvlJc w:val="left"/>
      <w:pPr>
        <w:tabs>
          <w:tab w:val="num" w:pos="6480"/>
        </w:tabs>
        <w:ind w:left="6480" w:hanging="360"/>
      </w:pPr>
      <w:rPr>
        <w:rFonts w:ascii="Wingdings" w:hAnsi="Wingdings" w:hint="default"/>
      </w:rPr>
    </w:lvl>
  </w:abstractNum>
  <w:abstractNum w:abstractNumId="1">
    <w:nsid w:val="1BD61A1D"/>
    <w:multiLevelType w:val="hybridMultilevel"/>
    <w:tmpl w:val="057CB8F2"/>
    <w:lvl w:ilvl="0" w:tplc="E5FC94EC">
      <w:start w:val="1"/>
      <w:numFmt w:val="bullet"/>
      <w:lvlText w:val=""/>
      <w:lvlJc w:val="left"/>
      <w:pPr>
        <w:ind w:left="720" w:hanging="360"/>
      </w:pPr>
      <w:rPr>
        <w:rFonts w:ascii="Symbol" w:hAnsi="Symbol" w:hint="default"/>
      </w:rPr>
    </w:lvl>
    <w:lvl w:ilvl="1" w:tplc="ADD8A458" w:tentative="1">
      <w:start w:val="1"/>
      <w:numFmt w:val="bullet"/>
      <w:lvlText w:val="o"/>
      <w:lvlJc w:val="left"/>
      <w:pPr>
        <w:ind w:left="1440" w:hanging="360"/>
      </w:pPr>
      <w:rPr>
        <w:rFonts w:ascii="Courier New" w:hAnsi="Courier New" w:cs="Courier New" w:hint="default"/>
      </w:rPr>
    </w:lvl>
    <w:lvl w:ilvl="2" w:tplc="52282910" w:tentative="1">
      <w:start w:val="1"/>
      <w:numFmt w:val="bullet"/>
      <w:lvlText w:val=""/>
      <w:lvlJc w:val="left"/>
      <w:pPr>
        <w:ind w:left="2160" w:hanging="360"/>
      </w:pPr>
      <w:rPr>
        <w:rFonts w:ascii="Wingdings" w:hAnsi="Wingdings" w:hint="default"/>
      </w:rPr>
    </w:lvl>
    <w:lvl w:ilvl="3" w:tplc="D250F23C" w:tentative="1">
      <w:start w:val="1"/>
      <w:numFmt w:val="bullet"/>
      <w:lvlText w:val=""/>
      <w:lvlJc w:val="left"/>
      <w:pPr>
        <w:ind w:left="2880" w:hanging="360"/>
      </w:pPr>
      <w:rPr>
        <w:rFonts w:ascii="Symbol" w:hAnsi="Symbol" w:hint="default"/>
      </w:rPr>
    </w:lvl>
    <w:lvl w:ilvl="4" w:tplc="976A50C6" w:tentative="1">
      <w:start w:val="1"/>
      <w:numFmt w:val="bullet"/>
      <w:lvlText w:val="o"/>
      <w:lvlJc w:val="left"/>
      <w:pPr>
        <w:ind w:left="3600" w:hanging="360"/>
      </w:pPr>
      <w:rPr>
        <w:rFonts w:ascii="Courier New" w:hAnsi="Courier New" w:cs="Courier New" w:hint="default"/>
      </w:rPr>
    </w:lvl>
    <w:lvl w:ilvl="5" w:tplc="36049AC4" w:tentative="1">
      <w:start w:val="1"/>
      <w:numFmt w:val="bullet"/>
      <w:lvlText w:val=""/>
      <w:lvlJc w:val="left"/>
      <w:pPr>
        <w:ind w:left="4320" w:hanging="360"/>
      </w:pPr>
      <w:rPr>
        <w:rFonts w:ascii="Wingdings" w:hAnsi="Wingdings" w:hint="default"/>
      </w:rPr>
    </w:lvl>
    <w:lvl w:ilvl="6" w:tplc="B61004CC" w:tentative="1">
      <w:start w:val="1"/>
      <w:numFmt w:val="bullet"/>
      <w:lvlText w:val=""/>
      <w:lvlJc w:val="left"/>
      <w:pPr>
        <w:ind w:left="5040" w:hanging="360"/>
      </w:pPr>
      <w:rPr>
        <w:rFonts w:ascii="Symbol" w:hAnsi="Symbol" w:hint="default"/>
      </w:rPr>
    </w:lvl>
    <w:lvl w:ilvl="7" w:tplc="4D30B24C" w:tentative="1">
      <w:start w:val="1"/>
      <w:numFmt w:val="bullet"/>
      <w:lvlText w:val="o"/>
      <w:lvlJc w:val="left"/>
      <w:pPr>
        <w:ind w:left="5760" w:hanging="360"/>
      </w:pPr>
      <w:rPr>
        <w:rFonts w:ascii="Courier New" w:hAnsi="Courier New" w:cs="Courier New" w:hint="default"/>
      </w:rPr>
    </w:lvl>
    <w:lvl w:ilvl="8" w:tplc="A844C700" w:tentative="1">
      <w:start w:val="1"/>
      <w:numFmt w:val="bullet"/>
      <w:lvlText w:val=""/>
      <w:lvlJc w:val="left"/>
      <w:pPr>
        <w:ind w:left="6480" w:hanging="360"/>
      </w:pPr>
      <w:rPr>
        <w:rFonts w:ascii="Wingdings" w:hAnsi="Wingdings" w:hint="default"/>
      </w:rPr>
    </w:lvl>
  </w:abstractNum>
  <w:abstractNum w:abstractNumId="2">
    <w:nsid w:val="23830EFD"/>
    <w:multiLevelType w:val="hybridMultilevel"/>
    <w:tmpl w:val="6944D00C"/>
    <w:lvl w:ilvl="0" w:tplc="1812C28A">
      <w:start w:val="1"/>
      <w:numFmt w:val="bullet"/>
      <w:lvlText w:val=""/>
      <w:lvlJc w:val="left"/>
      <w:pPr>
        <w:ind w:left="720" w:hanging="360"/>
      </w:pPr>
      <w:rPr>
        <w:rFonts w:ascii="Symbol" w:hAnsi="Symbol" w:hint="default"/>
      </w:rPr>
    </w:lvl>
    <w:lvl w:ilvl="1" w:tplc="C0562140" w:tentative="1">
      <w:start w:val="1"/>
      <w:numFmt w:val="bullet"/>
      <w:lvlText w:val="o"/>
      <w:lvlJc w:val="left"/>
      <w:pPr>
        <w:ind w:left="1440" w:hanging="360"/>
      </w:pPr>
      <w:rPr>
        <w:rFonts w:ascii="Courier New" w:hAnsi="Courier New" w:cs="Courier New" w:hint="default"/>
      </w:rPr>
    </w:lvl>
    <w:lvl w:ilvl="2" w:tplc="EABA73A0" w:tentative="1">
      <w:start w:val="1"/>
      <w:numFmt w:val="bullet"/>
      <w:lvlText w:val=""/>
      <w:lvlJc w:val="left"/>
      <w:pPr>
        <w:ind w:left="2160" w:hanging="360"/>
      </w:pPr>
      <w:rPr>
        <w:rFonts w:ascii="Wingdings" w:hAnsi="Wingdings" w:hint="default"/>
      </w:rPr>
    </w:lvl>
    <w:lvl w:ilvl="3" w:tplc="1F185514" w:tentative="1">
      <w:start w:val="1"/>
      <w:numFmt w:val="bullet"/>
      <w:lvlText w:val=""/>
      <w:lvlJc w:val="left"/>
      <w:pPr>
        <w:ind w:left="2880" w:hanging="360"/>
      </w:pPr>
      <w:rPr>
        <w:rFonts w:ascii="Symbol" w:hAnsi="Symbol" w:hint="default"/>
      </w:rPr>
    </w:lvl>
    <w:lvl w:ilvl="4" w:tplc="30E4FAEC" w:tentative="1">
      <w:start w:val="1"/>
      <w:numFmt w:val="bullet"/>
      <w:lvlText w:val="o"/>
      <w:lvlJc w:val="left"/>
      <w:pPr>
        <w:ind w:left="3600" w:hanging="360"/>
      </w:pPr>
      <w:rPr>
        <w:rFonts w:ascii="Courier New" w:hAnsi="Courier New" w:cs="Courier New" w:hint="default"/>
      </w:rPr>
    </w:lvl>
    <w:lvl w:ilvl="5" w:tplc="E57C8D40" w:tentative="1">
      <w:start w:val="1"/>
      <w:numFmt w:val="bullet"/>
      <w:lvlText w:val=""/>
      <w:lvlJc w:val="left"/>
      <w:pPr>
        <w:ind w:left="4320" w:hanging="360"/>
      </w:pPr>
      <w:rPr>
        <w:rFonts w:ascii="Wingdings" w:hAnsi="Wingdings" w:hint="default"/>
      </w:rPr>
    </w:lvl>
    <w:lvl w:ilvl="6" w:tplc="449C61E8" w:tentative="1">
      <w:start w:val="1"/>
      <w:numFmt w:val="bullet"/>
      <w:lvlText w:val=""/>
      <w:lvlJc w:val="left"/>
      <w:pPr>
        <w:ind w:left="5040" w:hanging="360"/>
      </w:pPr>
      <w:rPr>
        <w:rFonts w:ascii="Symbol" w:hAnsi="Symbol" w:hint="default"/>
      </w:rPr>
    </w:lvl>
    <w:lvl w:ilvl="7" w:tplc="8E829C28" w:tentative="1">
      <w:start w:val="1"/>
      <w:numFmt w:val="bullet"/>
      <w:lvlText w:val="o"/>
      <w:lvlJc w:val="left"/>
      <w:pPr>
        <w:ind w:left="5760" w:hanging="360"/>
      </w:pPr>
      <w:rPr>
        <w:rFonts w:ascii="Courier New" w:hAnsi="Courier New" w:cs="Courier New" w:hint="default"/>
      </w:rPr>
    </w:lvl>
    <w:lvl w:ilvl="8" w:tplc="12DE2B28" w:tentative="1">
      <w:start w:val="1"/>
      <w:numFmt w:val="bullet"/>
      <w:lvlText w:val=""/>
      <w:lvlJc w:val="left"/>
      <w:pPr>
        <w:ind w:left="6480" w:hanging="360"/>
      </w:pPr>
      <w:rPr>
        <w:rFonts w:ascii="Wingdings" w:hAnsi="Wingdings" w:hint="default"/>
      </w:rPr>
    </w:lvl>
  </w:abstractNum>
  <w:abstractNum w:abstractNumId="3">
    <w:nsid w:val="24FC03FD"/>
    <w:multiLevelType w:val="hybridMultilevel"/>
    <w:tmpl w:val="4BE63BD8"/>
    <w:lvl w:ilvl="0" w:tplc="39BA0830">
      <w:start w:val="1"/>
      <w:numFmt w:val="bullet"/>
      <w:lvlText w:val=""/>
      <w:lvlJc w:val="left"/>
      <w:pPr>
        <w:ind w:left="720" w:hanging="360"/>
      </w:pPr>
      <w:rPr>
        <w:rFonts w:ascii="Symbol" w:hAnsi="Symbol" w:hint="default"/>
      </w:rPr>
    </w:lvl>
    <w:lvl w:ilvl="1" w:tplc="586EC5EC" w:tentative="1">
      <w:start w:val="1"/>
      <w:numFmt w:val="bullet"/>
      <w:lvlText w:val="o"/>
      <w:lvlJc w:val="left"/>
      <w:pPr>
        <w:ind w:left="1440" w:hanging="360"/>
      </w:pPr>
      <w:rPr>
        <w:rFonts w:ascii="Courier New" w:hAnsi="Courier New" w:cs="Courier New" w:hint="default"/>
      </w:rPr>
    </w:lvl>
    <w:lvl w:ilvl="2" w:tplc="7A70C1F8" w:tentative="1">
      <w:start w:val="1"/>
      <w:numFmt w:val="bullet"/>
      <w:lvlText w:val=""/>
      <w:lvlJc w:val="left"/>
      <w:pPr>
        <w:ind w:left="2160" w:hanging="360"/>
      </w:pPr>
      <w:rPr>
        <w:rFonts w:ascii="Wingdings" w:hAnsi="Wingdings" w:hint="default"/>
      </w:rPr>
    </w:lvl>
    <w:lvl w:ilvl="3" w:tplc="C2245D80" w:tentative="1">
      <w:start w:val="1"/>
      <w:numFmt w:val="bullet"/>
      <w:lvlText w:val=""/>
      <w:lvlJc w:val="left"/>
      <w:pPr>
        <w:ind w:left="2880" w:hanging="360"/>
      </w:pPr>
      <w:rPr>
        <w:rFonts w:ascii="Symbol" w:hAnsi="Symbol" w:hint="default"/>
      </w:rPr>
    </w:lvl>
    <w:lvl w:ilvl="4" w:tplc="59E2C57E" w:tentative="1">
      <w:start w:val="1"/>
      <w:numFmt w:val="bullet"/>
      <w:lvlText w:val="o"/>
      <w:lvlJc w:val="left"/>
      <w:pPr>
        <w:ind w:left="3600" w:hanging="360"/>
      </w:pPr>
      <w:rPr>
        <w:rFonts w:ascii="Courier New" w:hAnsi="Courier New" w:cs="Courier New" w:hint="default"/>
      </w:rPr>
    </w:lvl>
    <w:lvl w:ilvl="5" w:tplc="E9B6AEE0" w:tentative="1">
      <w:start w:val="1"/>
      <w:numFmt w:val="bullet"/>
      <w:lvlText w:val=""/>
      <w:lvlJc w:val="left"/>
      <w:pPr>
        <w:ind w:left="4320" w:hanging="360"/>
      </w:pPr>
      <w:rPr>
        <w:rFonts w:ascii="Wingdings" w:hAnsi="Wingdings" w:hint="default"/>
      </w:rPr>
    </w:lvl>
    <w:lvl w:ilvl="6" w:tplc="68308338" w:tentative="1">
      <w:start w:val="1"/>
      <w:numFmt w:val="bullet"/>
      <w:lvlText w:val=""/>
      <w:lvlJc w:val="left"/>
      <w:pPr>
        <w:ind w:left="5040" w:hanging="360"/>
      </w:pPr>
      <w:rPr>
        <w:rFonts w:ascii="Symbol" w:hAnsi="Symbol" w:hint="default"/>
      </w:rPr>
    </w:lvl>
    <w:lvl w:ilvl="7" w:tplc="7372683A" w:tentative="1">
      <w:start w:val="1"/>
      <w:numFmt w:val="bullet"/>
      <w:lvlText w:val="o"/>
      <w:lvlJc w:val="left"/>
      <w:pPr>
        <w:ind w:left="5760" w:hanging="360"/>
      </w:pPr>
      <w:rPr>
        <w:rFonts w:ascii="Courier New" w:hAnsi="Courier New" w:cs="Courier New" w:hint="default"/>
      </w:rPr>
    </w:lvl>
    <w:lvl w:ilvl="8" w:tplc="E6E20900" w:tentative="1">
      <w:start w:val="1"/>
      <w:numFmt w:val="bullet"/>
      <w:lvlText w:val=""/>
      <w:lvlJc w:val="left"/>
      <w:pPr>
        <w:ind w:left="6480" w:hanging="360"/>
      </w:pPr>
      <w:rPr>
        <w:rFonts w:ascii="Wingdings" w:hAnsi="Wingdings" w:hint="default"/>
      </w:rPr>
    </w:lvl>
  </w:abstractNum>
  <w:abstractNum w:abstractNumId="4">
    <w:nsid w:val="2EBC271C"/>
    <w:multiLevelType w:val="hybridMultilevel"/>
    <w:tmpl w:val="29F04844"/>
    <w:lvl w:ilvl="0" w:tplc="EBCEF0F8">
      <w:start w:val="1"/>
      <w:numFmt w:val="bullet"/>
      <w:lvlText w:val=""/>
      <w:lvlJc w:val="left"/>
      <w:pPr>
        <w:ind w:left="720" w:hanging="360"/>
      </w:pPr>
      <w:rPr>
        <w:rFonts w:ascii="Symbol" w:hAnsi="Symbol" w:hint="default"/>
      </w:rPr>
    </w:lvl>
    <w:lvl w:ilvl="1" w:tplc="18FE2AFC" w:tentative="1">
      <w:start w:val="1"/>
      <w:numFmt w:val="bullet"/>
      <w:lvlText w:val="o"/>
      <w:lvlJc w:val="left"/>
      <w:pPr>
        <w:ind w:left="1440" w:hanging="360"/>
      </w:pPr>
      <w:rPr>
        <w:rFonts w:ascii="Courier New" w:hAnsi="Courier New" w:cs="Courier New" w:hint="default"/>
      </w:rPr>
    </w:lvl>
    <w:lvl w:ilvl="2" w:tplc="5CC2FC48" w:tentative="1">
      <w:start w:val="1"/>
      <w:numFmt w:val="bullet"/>
      <w:lvlText w:val=""/>
      <w:lvlJc w:val="left"/>
      <w:pPr>
        <w:ind w:left="2160" w:hanging="360"/>
      </w:pPr>
      <w:rPr>
        <w:rFonts w:ascii="Wingdings" w:hAnsi="Wingdings" w:hint="default"/>
      </w:rPr>
    </w:lvl>
    <w:lvl w:ilvl="3" w:tplc="F454D728" w:tentative="1">
      <w:start w:val="1"/>
      <w:numFmt w:val="bullet"/>
      <w:lvlText w:val=""/>
      <w:lvlJc w:val="left"/>
      <w:pPr>
        <w:ind w:left="2880" w:hanging="360"/>
      </w:pPr>
      <w:rPr>
        <w:rFonts w:ascii="Symbol" w:hAnsi="Symbol" w:hint="default"/>
      </w:rPr>
    </w:lvl>
    <w:lvl w:ilvl="4" w:tplc="AB80C56A" w:tentative="1">
      <w:start w:val="1"/>
      <w:numFmt w:val="bullet"/>
      <w:lvlText w:val="o"/>
      <w:lvlJc w:val="left"/>
      <w:pPr>
        <w:ind w:left="3600" w:hanging="360"/>
      </w:pPr>
      <w:rPr>
        <w:rFonts w:ascii="Courier New" w:hAnsi="Courier New" w:cs="Courier New" w:hint="default"/>
      </w:rPr>
    </w:lvl>
    <w:lvl w:ilvl="5" w:tplc="28780474" w:tentative="1">
      <w:start w:val="1"/>
      <w:numFmt w:val="bullet"/>
      <w:lvlText w:val=""/>
      <w:lvlJc w:val="left"/>
      <w:pPr>
        <w:ind w:left="4320" w:hanging="360"/>
      </w:pPr>
      <w:rPr>
        <w:rFonts w:ascii="Wingdings" w:hAnsi="Wingdings" w:hint="default"/>
      </w:rPr>
    </w:lvl>
    <w:lvl w:ilvl="6" w:tplc="4D0070D6" w:tentative="1">
      <w:start w:val="1"/>
      <w:numFmt w:val="bullet"/>
      <w:lvlText w:val=""/>
      <w:lvlJc w:val="left"/>
      <w:pPr>
        <w:ind w:left="5040" w:hanging="360"/>
      </w:pPr>
      <w:rPr>
        <w:rFonts w:ascii="Symbol" w:hAnsi="Symbol" w:hint="default"/>
      </w:rPr>
    </w:lvl>
    <w:lvl w:ilvl="7" w:tplc="30267778" w:tentative="1">
      <w:start w:val="1"/>
      <w:numFmt w:val="bullet"/>
      <w:lvlText w:val="o"/>
      <w:lvlJc w:val="left"/>
      <w:pPr>
        <w:ind w:left="5760" w:hanging="360"/>
      </w:pPr>
      <w:rPr>
        <w:rFonts w:ascii="Courier New" w:hAnsi="Courier New" w:cs="Courier New" w:hint="default"/>
      </w:rPr>
    </w:lvl>
    <w:lvl w:ilvl="8" w:tplc="D870ED28" w:tentative="1">
      <w:start w:val="1"/>
      <w:numFmt w:val="bullet"/>
      <w:lvlText w:val=""/>
      <w:lvlJc w:val="left"/>
      <w:pPr>
        <w:ind w:left="6480" w:hanging="360"/>
      </w:pPr>
      <w:rPr>
        <w:rFonts w:ascii="Wingdings" w:hAnsi="Wingdings" w:hint="default"/>
      </w:rPr>
    </w:lvl>
  </w:abstractNum>
  <w:abstractNum w:abstractNumId="5">
    <w:nsid w:val="3DA46C16"/>
    <w:multiLevelType w:val="hybridMultilevel"/>
    <w:tmpl w:val="B596C13A"/>
    <w:lvl w:ilvl="0" w:tplc="D90ACC34">
      <w:start w:val="1"/>
      <w:numFmt w:val="bullet"/>
      <w:lvlText w:val=""/>
      <w:lvlJc w:val="left"/>
      <w:pPr>
        <w:ind w:left="720" w:hanging="360"/>
      </w:pPr>
      <w:rPr>
        <w:rFonts w:ascii="Symbol" w:hAnsi="Symbol" w:hint="default"/>
        <w:color w:val="auto"/>
      </w:rPr>
    </w:lvl>
    <w:lvl w:ilvl="1" w:tplc="6C9C313C" w:tentative="1">
      <w:start w:val="1"/>
      <w:numFmt w:val="lowerLetter"/>
      <w:lvlText w:val="%2."/>
      <w:lvlJc w:val="left"/>
      <w:pPr>
        <w:ind w:left="1440" w:hanging="360"/>
      </w:pPr>
    </w:lvl>
    <w:lvl w:ilvl="2" w:tplc="306E67D0" w:tentative="1">
      <w:start w:val="1"/>
      <w:numFmt w:val="lowerRoman"/>
      <w:lvlText w:val="%3."/>
      <w:lvlJc w:val="right"/>
      <w:pPr>
        <w:ind w:left="2160" w:hanging="180"/>
      </w:pPr>
    </w:lvl>
    <w:lvl w:ilvl="3" w:tplc="F9CA4000" w:tentative="1">
      <w:start w:val="1"/>
      <w:numFmt w:val="decimal"/>
      <w:lvlText w:val="%4."/>
      <w:lvlJc w:val="left"/>
      <w:pPr>
        <w:ind w:left="2880" w:hanging="360"/>
      </w:pPr>
    </w:lvl>
    <w:lvl w:ilvl="4" w:tplc="ADBA3FB2" w:tentative="1">
      <w:start w:val="1"/>
      <w:numFmt w:val="lowerLetter"/>
      <w:lvlText w:val="%5."/>
      <w:lvlJc w:val="left"/>
      <w:pPr>
        <w:ind w:left="3600" w:hanging="360"/>
      </w:pPr>
    </w:lvl>
    <w:lvl w:ilvl="5" w:tplc="FBBAC91E" w:tentative="1">
      <w:start w:val="1"/>
      <w:numFmt w:val="lowerRoman"/>
      <w:lvlText w:val="%6."/>
      <w:lvlJc w:val="right"/>
      <w:pPr>
        <w:ind w:left="4320" w:hanging="180"/>
      </w:pPr>
    </w:lvl>
    <w:lvl w:ilvl="6" w:tplc="01A20648" w:tentative="1">
      <w:start w:val="1"/>
      <w:numFmt w:val="decimal"/>
      <w:lvlText w:val="%7."/>
      <w:lvlJc w:val="left"/>
      <w:pPr>
        <w:ind w:left="5040" w:hanging="360"/>
      </w:pPr>
    </w:lvl>
    <w:lvl w:ilvl="7" w:tplc="51E64BA6" w:tentative="1">
      <w:start w:val="1"/>
      <w:numFmt w:val="lowerLetter"/>
      <w:lvlText w:val="%8."/>
      <w:lvlJc w:val="left"/>
      <w:pPr>
        <w:ind w:left="5760" w:hanging="360"/>
      </w:pPr>
    </w:lvl>
    <w:lvl w:ilvl="8" w:tplc="93EE749E" w:tentative="1">
      <w:start w:val="1"/>
      <w:numFmt w:val="lowerRoman"/>
      <w:lvlText w:val="%9."/>
      <w:lvlJc w:val="right"/>
      <w:pPr>
        <w:ind w:left="6480" w:hanging="180"/>
      </w:pPr>
    </w:lvl>
  </w:abstractNum>
  <w:abstractNum w:abstractNumId="6">
    <w:nsid w:val="543A6A85"/>
    <w:multiLevelType w:val="hybridMultilevel"/>
    <w:tmpl w:val="3D46FE86"/>
    <w:lvl w:ilvl="0" w:tplc="F29009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264BD4"/>
    <w:multiLevelType w:val="hybridMultilevel"/>
    <w:tmpl w:val="88D03CCC"/>
    <w:lvl w:ilvl="0" w:tplc="A6E05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2B7F59"/>
    <w:multiLevelType w:val="hybridMultilevel"/>
    <w:tmpl w:val="1BA86EF8"/>
    <w:lvl w:ilvl="0" w:tplc="9F1A3FEE">
      <w:start w:val="1"/>
      <w:numFmt w:val="bullet"/>
      <w:lvlText w:val=""/>
      <w:lvlJc w:val="left"/>
      <w:pPr>
        <w:ind w:left="720" w:hanging="360"/>
      </w:pPr>
      <w:rPr>
        <w:rFonts w:ascii="Symbol" w:hAnsi="Symbol" w:hint="default"/>
      </w:rPr>
    </w:lvl>
    <w:lvl w:ilvl="1" w:tplc="01B4C0E8" w:tentative="1">
      <w:start w:val="1"/>
      <w:numFmt w:val="bullet"/>
      <w:lvlText w:val="o"/>
      <w:lvlJc w:val="left"/>
      <w:pPr>
        <w:ind w:left="1440" w:hanging="360"/>
      </w:pPr>
      <w:rPr>
        <w:rFonts w:ascii="Courier New" w:hAnsi="Courier New" w:cs="Courier New" w:hint="default"/>
      </w:rPr>
    </w:lvl>
    <w:lvl w:ilvl="2" w:tplc="2CD6971E" w:tentative="1">
      <w:start w:val="1"/>
      <w:numFmt w:val="bullet"/>
      <w:lvlText w:val=""/>
      <w:lvlJc w:val="left"/>
      <w:pPr>
        <w:ind w:left="2160" w:hanging="360"/>
      </w:pPr>
      <w:rPr>
        <w:rFonts w:ascii="Wingdings" w:hAnsi="Wingdings" w:hint="default"/>
      </w:rPr>
    </w:lvl>
    <w:lvl w:ilvl="3" w:tplc="F5DEE068" w:tentative="1">
      <w:start w:val="1"/>
      <w:numFmt w:val="bullet"/>
      <w:lvlText w:val=""/>
      <w:lvlJc w:val="left"/>
      <w:pPr>
        <w:ind w:left="2880" w:hanging="360"/>
      </w:pPr>
      <w:rPr>
        <w:rFonts w:ascii="Symbol" w:hAnsi="Symbol" w:hint="default"/>
      </w:rPr>
    </w:lvl>
    <w:lvl w:ilvl="4" w:tplc="A648AF04" w:tentative="1">
      <w:start w:val="1"/>
      <w:numFmt w:val="bullet"/>
      <w:lvlText w:val="o"/>
      <w:lvlJc w:val="left"/>
      <w:pPr>
        <w:ind w:left="3600" w:hanging="360"/>
      </w:pPr>
      <w:rPr>
        <w:rFonts w:ascii="Courier New" w:hAnsi="Courier New" w:cs="Courier New" w:hint="default"/>
      </w:rPr>
    </w:lvl>
    <w:lvl w:ilvl="5" w:tplc="C3D0A9A8" w:tentative="1">
      <w:start w:val="1"/>
      <w:numFmt w:val="bullet"/>
      <w:lvlText w:val=""/>
      <w:lvlJc w:val="left"/>
      <w:pPr>
        <w:ind w:left="4320" w:hanging="360"/>
      </w:pPr>
      <w:rPr>
        <w:rFonts w:ascii="Wingdings" w:hAnsi="Wingdings" w:hint="default"/>
      </w:rPr>
    </w:lvl>
    <w:lvl w:ilvl="6" w:tplc="2A5A2188" w:tentative="1">
      <w:start w:val="1"/>
      <w:numFmt w:val="bullet"/>
      <w:lvlText w:val=""/>
      <w:lvlJc w:val="left"/>
      <w:pPr>
        <w:ind w:left="5040" w:hanging="360"/>
      </w:pPr>
      <w:rPr>
        <w:rFonts w:ascii="Symbol" w:hAnsi="Symbol" w:hint="default"/>
      </w:rPr>
    </w:lvl>
    <w:lvl w:ilvl="7" w:tplc="A918883E" w:tentative="1">
      <w:start w:val="1"/>
      <w:numFmt w:val="bullet"/>
      <w:lvlText w:val="o"/>
      <w:lvlJc w:val="left"/>
      <w:pPr>
        <w:ind w:left="5760" w:hanging="360"/>
      </w:pPr>
      <w:rPr>
        <w:rFonts w:ascii="Courier New" w:hAnsi="Courier New" w:cs="Courier New" w:hint="default"/>
      </w:rPr>
    </w:lvl>
    <w:lvl w:ilvl="8" w:tplc="4F805FF6" w:tentative="1">
      <w:start w:val="1"/>
      <w:numFmt w:val="bullet"/>
      <w:lvlText w:val=""/>
      <w:lvlJc w:val="left"/>
      <w:pPr>
        <w:ind w:left="6480" w:hanging="360"/>
      </w:pPr>
      <w:rPr>
        <w:rFonts w:ascii="Wingdings" w:hAnsi="Wingdings" w:hint="default"/>
      </w:rPr>
    </w:lvl>
  </w:abstractNum>
  <w:abstractNum w:abstractNumId="9">
    <w:nsid w:val="7BAD7BB0"/>
    <w:multiLevelType w:val="hybridMultilevel"/>
    <w:tmpl w:val="D28CD9F4"/>
    <w:lvl w:ilvl="0" w:tplc="A112E0CE">
      <w:start w:val="1"/>
      <w:numFmt w:val="bullet"/>
      <w:lvlText w:val=""/>
      <w:lvlJc w:val="left"/>
      <w:pPr>
        <w:ind w:left="720" w:hanging="360"/>
      </w:pPr>
      <w:rPr>
        <w:rFonts w:ascii="Symbol" w:hAnsi="Symbol" w:hint="default"/>
      </w:rPr>
    </w:lvl>
    <w:lvl w:ilvl="1" w:tplc="C4EC3AB4" w:tentative="1">
      <w:start w:val="1"/>
      <w:numFmt w:val="bullet"/>
      <w:lvlText w:val="o"/>
      <w:lvlJc w:val="left"/>
      <w:pPr>
        <w:ind w:left="1440" w:hanging="360"/>
      </w:pPr>
      <w:rPr>
        <w:rFonts w:ascii="Courier New" w:hAnsi="Courier New" w:cs="Courier New" w:hint="default"/>
      </w:rPr>
    </w:lvl>
    <w:lvl w:ilvl="2" w:tplc="87A2E5FC" w:tentative="1">
      <w:start w:val="1"/>
      <w:numFmt w:val="bullet"/>
      <w:lvlText w:val=""/>
      <w:lvlJc w:val="left"/>
      <w:pPr>
        <w:ind w:left="2160" w:hanging="360"/>
      </w:pPr>
      <w:rPr>
        <w:rFonts w:ascii="Wingdings" w:hAnsi="Wingdings" w:hint="default"/>
      </w:rPr>
    </w:lvl>
    <w:lvl w:ilvl="3" w:tplc="A83205D6" w:tentative="1">
      <w:start w:val="1"/>
      <w:numFmt w:val="bullet"/>
      <w:lvlText w:val=""/>
      <w:lvlJc w:val="left"/>
      <w:pPr>
        <w:ind w:left="2880" w:hanging="360"/>
      </w:pPr>
      <w:rPr>
        <w:rFonts w:ascii="Symbol" w:hAnsi="Symbol" w:hint="default"/>
      </w:rPr>
    </w:lvl>
    <w:lvl w:ilvl="4" w:tplc="1F9AC792" w:tentative="1">
      <w:start w:val="1"/>
      <w:numFmt w:val="bullet"/>
      <w:lvlText w:val="o"/>
      <w:lvlJc w:val="left"/>
      <w:pPr>
        <w:ind w:left="3600" w:hanging="360"/>
      </w:pPr>
      <w:rPr>
        <w:rFonts w:ascii="Courier New" w:hAnsi="Courier New" w:cs="Courier New" w:hint="default"/>
      </w:rPr>
    </w:lvl>
    <w:lvl w:ilvl="5" w:tplc="A9E431EC" w:tentative="1">
      <w:start w:val="1"/>
      <w:numFmt w:val="bullet"/>
      <w:lvlText w:val=""/>
      <w:lvlJc w:val="left"/>
      <w:pPr>
        <w:ind w:left="4320" w:hanging="360"/>
      </w:pPr>
      <w:rPr>
        <w:rFonts w:ascii="Wingdings" w:hAnsi="Wingdings" w:hint="default"/>
      </w:rPr>
    </w:lvl>
    <w:lvl w:ilvl="6" w:tplc="9220411A" w:tentative="1">
      <w:start w:val="1"/>
      <w:numFmt w:val="bullet"/>
      <w:lvlText w:val=""/>
      <w:lvlJc w:val="left"/>
      <w:pPr>
        <w:ind w:left="5040" w:hanging="360"/>
      </w:pPr>
      <w:rPr>
        <w:rFonts w:ascii="Symbol" w:hAnsi="Symbol" w:hint="default"/>
      </w:rPr>
    </w:lvl>
    <w:lvl w:ilvl="7" w:tplc="FA565F04" w:tentative="1">
      <w:start w:val="1"/>
      <w:numFmt w:val="bullet"/>
      <w:lvlText w:val="o"/>
      <w:lvlJc w:val="left"/>
      <w:pPr>
        <w:ind w:left="5760" w:hanging="360"/>
      </w:pPr>
      <w:rPr>
        <w:rFonts w:ascii="Courier New" w:hAnsi="Courier New" w:cs="Courier New" w:hint="default"/>
      </w:rPr>
    </w:lvl>
    <w:lvl w:ilvl="8" w:tplc="97EA75D6"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8"/>
  </w:num>
  <w:num w:numId="7">
    <w:abstractNumId w:val="9"/>
  </w:num>
  <w:num w:numId="8">
    <w:abstractNumId w:val="4"/>
  </w:num>
  <w:num w:numId="9">
    <w:abstractNumId w:val="6"/>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596302"/>
    <w:rsid w:val="0000065B"/>
    <w:rsid w:val="0000066E"/>
    <w:rsid w:val="00000B5A"/>
    <w:rsid w:val="00002079"/>
    <w:rsid w:val="00002FBB"/>
    <w:rsid w:val="00005487"/>
    <w:rsid w:val="00005D88"/>
    <w:rsid w:val="00006A25"/>
    <w:rsid w:val="00006D1D"/>
    <w:rsid w:val="00006DAB"/>
    <w:rsid w:val="000078A0"/>
    <w:rsid w:val="00007CC0"/>
    <w:rsid w:val="00007F64"/>
    <w:rsid w:val="000100C9"/>
    <w:rsid w:val="00010A08"/>
    <w:rsid w:val="00010B35"/>
    <w:rsid w:val="000118FC"/>
    <w:rsid w:val="00011A33"/>
    <w:rsid w:val="00011C76"/>
    <w:rsid w:val="0001230E"/>
    <w:rsid w:val="00013DE2"/>
    <w:rsid w:val="00013F19"/>
    <w:rsid w:val="00014437"/>
    <w:rsid w:val="00014C72"/>
    <w:rsid w:val="00014DA7"/>
    <w:rsid w:val="00014EDD"/>
    <w:rsid w:val="00015078"/>
    <w:rsid w:val="000166D8"/>
    <w:rsid w:val="000171DE"/>
    <w:rsid w:val="000208F4"/>
    <w:rsid w:val="00020F30"/>
    <w:rsid w:val="00021DDF"/>
    <w:rsid w:val="000235CA"/>
    <w:rsid w:val="00023F06"/>
    <w:rsid w:val="00024A66"/>
    <w:rsid w:val="00025760"/>
    <w:rsid w:val="00025AC6"/>
    <w:rsid w:val="00026BC2"/>
    <w:rsid w:val="00026D9C"/>
    <w:rsid w:val="00027171"/>
    <w:rsid w:val="00027B6C"/>
    <w:rsid w:val="00027F30"/>
    <w:rsid w:val="00030006"/>
    <w:rsid w:val="00031248"/>
    <w:rsid w:val="00032923"/>
    <w:rsid w:val="000330C5"/>
    <w:rsid w:val="00033707"/>
    <w:rsid w:val="00034260"/>
    <w:rsid w:val="00035562"/>
    <w:rsid w:val="000413CB"/>
    <w:rsid w:val="0004163A"/>
    <w:rsid w:val="000425A3"/>
    <w:rsid w:val="00045ED6"/>
    <w:rsid w:val="00046092"/>
    <w:rsid w:val="0004656C"/>
    <w:rsid w:val="00047079"/>
    <w:rsid w:val="00050412"/>
    <w:rsid w:val="00053881"/>
    <w:rsid w:val="00053D4E"/>
    <w:rsid w:val="00054D60"/>
    <w:rsid w:val="00056DC7"/>
    <w:rsid w:val="0005713B"/>
    <w:rsid w:val="000601A5"/>
    <w:rsid w:val="0006024C"/>
    <w:rsid w:val="000602B6"/>
    <w:rsid w:val="00062845"/>
    <w:rsid w:val="000636F4"/>
    <w:rsid w:val="000651E1"/>
    <w:rsid w:val="00065AFF"/>
    <w:rsid w:val="00066FB2"/>
    <w:rsid w:val="0006725D"/>
    <w:rsid w:val="000675DE"/>
    <w:rsid w:val="0007007E"/>
    <w:rsid w:val="00070DBD"/>
    <w:rsid w:val="0007178D"/>
    <w:rsid w:val="00071E40"/>
    <w:rsid w:val="00071EBC"/>
    <w:rsid w:val="000721B2"/>
    <w:rsid w:val="000727B0"/>
    <w:rsid w:val="000729A0"/>
    <w:rsid w:val="00073F09"/>
    <w:rsid w:val="00077509"/>
    <w:rsid w:val="000777C6"/>
    <w:rsid w:val="0008068F"/>
    <w:rsid w:val="000818A6"/>
    <w:rsid w:val="00081A59"/>
    <w:rsid w:val="00082DE4"/>
    <w:rsid w:val="0008312D"/>
    <w:rsid w:val="000832A8"/>
    <w:rsid w:val="00084194"/>
    <w:rsid w:val="00084D10"/>
    <w:rsid w:val="00084F79"/>
    <w:rsid w:val="000907DD"/>
    <w:rsid w:val="00090B1F"/>
    <w:rsid w:val="00091311"/>
    <w:rsid w:val="0009221E"/>
    <w:rsid w:val="0009289E"/>
    <w:rsid w:val="00092B92"/>
    <w:rsid w:val="0009486B"/>
    <w:rsid w:val="00094A04"/>
    <w:rsid w:val="00095695"/>
    <w:rsid w:val="000956CE"/>
    <w:rsid w:val="0009598D"/>
    <w:rsid w:val="000A1AA1"/>
    <w:rsid w:val="000A1F29"/>
    <w:rsid w:val="000A2894"/>
    <w:rsid w:val="000A481F"/>
    <w:rsid w:val="000A5B3C"/>
    <w:rsid w:val="000A690E"/>
    <w:rsid w:val="000B06A3"/>
    <w:rsid w:val="000B2C8F"/>
    <w:rsid w:val="000B2E1B"/>
    <w:rsid w:val="000B3164"/>
    <w:rsid w:val="000B32F6"/>
    <w:rsid w:val="000B4665"/>
    <w:rsid w:val="000B47F3"/>
    <w:rsid w:val="000B5033"/>
    <w:rsid w:val="000B5C5C"/>
    <w:rsid w:val="000B659D"/>
    <w:rsid w:val="000B6E54"/>
    <w:rsid w:val="000C112B"/>
    <w:rsid w:val="000C2063"/>
    <w:rsid w:val="000C3EDC"/>
    <w:rsid w:val="000C4464"/>
    <w:rsid w:val="000C653E"/>
    <w:rsid w:val="000C6C2B"/>
    <w:rsid w:val="000D0281"/>
    <w:rsid w:val="000D04AD"/>
    <w:rsid w:val="000D2699"/>
    <w:rsid w:val="000D2CA1"/>
    <w:rsid w:val="000D2F30"/>
    <w:rsid w:val="000D3F2B"/>
    <w:rsid w:val="000D752C"/>
    <w:rsid w:val="000D7B7C"/>
    <w:rsid w:val="000E03DA"/>
    <w:rsid w:val="000E0AC9"/>
    <w:rsid w:val="000E1471"/>
    <w:rsid w:val="000E229B"/>
    <w:rsid w:val="000E2ABF"/>
    <w:rsid w:val="000E2CCB"/>
    <w:rsid w:val="000E33C3"/>
    <w:rsid w:val="000E3503"/>
    <w:rsid w:val="000E3A36"/>
    <w:rsid w:val="000E3DB8"/>
    <w:rsid w:val="000E48D0"/>
    <w:rsid w:val="000E5BCF"/>
    <w:rsid w:val="000E7FE8"/>
    <w:rsid w:val="000E7FEB"/>
    <w:rsid w:val="000F0DF2"/>
    <w:rsid w:val="000F1D6C"/>
    <w:rsid w:val="000F2B81"/>
    <w:rsid w:val="000F3AAF"/>
    <w:rsid w:val="000F6188"/>
    <w:rsid w:val="000F65B9"/>
    <w:rsid w:val="000F7AB3"/>
    <w:rsid w:val="00100102"/>
    <w:rsid w:val="001011FC"/>
    <w:rsid w:val="001033D1"/>
    <w:rsid w:val="001054EE"/>
    <w:rsid w:val="00105779"/>
    <w:rsid w:val="001066EF"/>
    <w:rsid w:val="0010682C"/>
    <w:rsid w:val="00106A2A"/>
    <w:rsid w:val="001077A0"/>
    <w:rsid w:val="00107B0B"/>
    <w:rsid w:val="001101E4"/>
    <w:rsid w:val="00110CCB"/>
    <w:rsid w:val="00111444"/>
    <w:rsid w:val="00112697"/>
    <w:rsid w:val="00112919"/>
    <w:rsid w:val="00113570"/>
    <w:rsid w:val="00113E9C"/>
    <w:rsid w:val="00114653"/>
    <w:rsid w:val="00121547"/>
    <w:rsid w:val="0012155C"/>
    <w:rsid w:val="00121618"/>
    <w:rsid w:val="0012215F"/>
    <w:rsid w:val="0012309F"/>
    <w:rsid w:val="00123F94"/>
    <w:rsid w:val="001254E1"/>
    <w:rsid w:val="00125FD3"/>
    <w:rsid w:val="00126D81"/>
    <w:rsid w:val="00127AAD"/>
    <w:rsid w:val="00130AD3"/>
    <w:rsid w:val="00131563"/>
    <w:rsid w:val="00131A75"/>
    <w:rsid w:val="001331E9"/>
    <w:rsid w:val="00133616"/>
    <w:rsid w:val="00134E8A"/>
    <w:rsid w:val="00137334"/>
    <w:rsid w:val="00137793"/>
    <w:rsid w:val="00137E9E"/>
    <w:rsid w:val="0014078C"/>
    <w:rsid w:val="00140C71"/>
    <w:rsid w:val="001413A8"/>
    <w:rsid w:val="0014404C"/>
    <w:rsid w:val="00144A93"/>
    <w:rsid w:val="00144B14"/>
    <w:rsid w:val="0014551D"/>
    <w:rsid w:val="00146CF7"/>
    <w:rsid w:val="00147704"/>
    <w:rsid w:val="00151F31"/>
    <w:rsid w:val="00151F47"/>
    <w:rsid w:val="001525D5"/>
    <w:rsid w:val="00152EAC"/>
    <w:rsid w:val="00154185"/>
    <w:rsid w:val="00155DCE"/>
    <w:rsid w:val="00156A7B"/>
    <w:rsid w:val="001571B2"/>
    <w:rsid w:val="001575F1"/>
    <w:rsid w:val="00157744"/>
    <w:rsid w:val="00157859"/>
    <w:rsid w:val="00157975"/>
    <w:rsid w:val="001579CF"/>
    <w:rsid w:val="00161197"/>
    <w:rsid w:val="00161B5E"/>
    <w:rsid w:val="00162EFE"/>
    <w:rsid w:val="00164136"/>
    <w:rsid w:val="001646EA"/>
    <w:rsid w:val="0016588C"/>
    <w:rsid w:val="00165AC0"/>
    <w:rsid w:val="001719F4"/>
    <w:rsid w:val="001740FF"/>
    <w:rsid w:val="00174B60"/>
    <w:rsid w:val="0017518E"/>
    <w:rsid w:val="00175F26"/>
    <w:rsid w:val="0017671F"/>
    <w:rsid w:val="00177549"/>
    <w:rsid w:val="00180506"/>
    <w:rsid w:val="00182A53"/>
    <w:rsid w:val="00182C47"/>
    <w:rsid w:val="00182D32"/>
    <w:rsid w:val="00183661"/>
    <w:rsid w:val="0018459C"/>
    <w:rsid w:val="00184C5B"/>
    <w:rsid w:val="00184F52"/>
    <w:rsid w:val="00185C3F"/>
    <w:rsid w:val="00185DC5"/>
    <w:rsid w:val="001861E3"/>
    <w:rsid w:val="00186C4F"/>
    <w:rsid w:val="00187D70"/>
    <w:rsid w:val="00190642"/>
    <w:rsid w:val="00190C53"/>
    <w:rsid w:val="0019153B"/>
    <w:rsid w:val="00192EDE"/>
    <w:rsid w:val="00193C34"/>
    <w:rsid w:val="00193FB0"/>
    <w:rsid w:val="00194022"/>
    <w:rsid w:val="00194128"/>
    <w:rsid w:val="00194832"/>
    <w:rsid w:val="0019564F"/>
    <w:rsid w:val="00195F1B"/>
    <w:rsid w:val="001965EC"/>
    <w:rsid w:val="001A04D8"/>
    <w:rsid w:val="001A07F2"/>
    <w:rsid w:val="001A1C39"/>
    <w:rsid w:val="001A1DD7"/>
    <w:rsid w:val="001A1FDD"/>
    <w:rsid w:val="001A2D0D"/>
    <w:rsid w:val="001A3003"/>
    <w:rsid w:val="001A3123"/>
    <w:rsid w:val="001A5401"/>
    <w:rsid w:val="001A6328"/>
    <w:rsid w:val="001A6B6E"/>
    <w:rsid w:val="001A6D90"/>
    <w:rsid w:val="001A7775"/>
    <w:rsid w:val="001A7884"/>
    <w:rsid w:val="001A79C2"/>
    <w:rsid w:val="001B05D3"/>
    <w:rsid w:val="001B0F1B"/>
    <w:rsid w:val="001B1474"/>
    <w:rsid w:val="001B2024"/>
    <w:rsid w:val="001B230B"/>
    <w:rsid w:val="001B282C"/>
    <w:rsid w:val="001B2EB7"/>
    <w:rsid w:val="001B2F58"/>
    <w:rsid w:val="001B324F"/>
    <w:rsid w:val="001B42B5"/>
    <w:rsid w:val="001B43E1"/>
    <w:rsid w:val="001B76EA"/>
    <w:rsid w:val="001B7FC5"/>
    <w:rsid w:val="001C0BB3"/>
    <w:rsid w:val="001C0E90"/>
    <w:rsid w:val="001C14DA"/>
    <w:rsid w:val="001C1A32"/>
    <w:rsid w:val="001C20EE"/>
    <w:rsid w:val="001C3091"/>
    <w:rsid w:val="001C366A"/>
    <w:rsid w:val="001C37C3"/>
    <w:rsid w:val="001C3F6A"/>
    <w:rsid w:val="001C4540"/>
    <w:rsid w:val="001C46D3"/>
    <w:rsid w:val="001C4F04"/>
    <w:rsid w:val="001C79EF"/>
    <w:rsid w:val="001C7F7D"/>
    <w:rsid w:val="001D0F43"/>
    <w:rsid w:val="001D0FB5"/>
    <w:rsid w:val="001D2C73"/>
    <w:rsid w:val="001D3754"/>
    <w:rsid w:val="001D375E"/>
    <w:rsid w:val="001D3E7E"/>
    <w:rsid w:val="001D4442"/>
    <w:rsid w:val="001D4B5D"/>
    <w:rsid w:val="001D662A"/>
    <w:rsid w:val="001D6C71"/>
    <w:rsid w:val="001D7121"/>
    <w:rsid w:val="001E1414"/>
    <w:rsid w:val="001E3795"/>
    <w:rsid w:val="001E3D63"/>
    <w:rsid w:val="001E444C"/>
    <w:rsid w:val="001E485D"/>
    <w:rsid w:val="001E4B5D"/>
    <w:rsid w:val="001E4C7A"/>
    <w:rsid w:val="001E4E10"/>
    <w:rsid w:val="001E4F55"/>
    <w:rsid w:val="001E502E"/>
    <w:rsid w:val="001E5566"/>
    <w:rsid w:val="001E60CD"/>
    <w:rsid w:val="001E7B7A"/>
    <w:rsid w:val="001E7BA4"/>
    <w:rsid w:val="001F0FCB"/>
    <w:rsid w:val="001F121B"/>
    <w:rsid w:val="001F1ECC"/>
    <w:rsid w:val="001F219E"/>
    <w:rsid w:val="001F372A"/>
    <w:rsid w:val="001F3BBF"/>
    <w:rsid w:val="001F47EC"/>
    <w:rsid w:val="001F58A7"/>
    <w:rsid w:val="001F6CB0"/>
    <w:rsid w:val="001F7290"/>
    <w:rsid w:val="00200F4A"/>
    <w:rsid w:val="00203408"/>
    <w:rsid w:val="0020367B"/>
    <w:rsid w:val="00204F58"/>
    <w:rsid w:val="002051B3"/>
    <w:rsid w:val="00206E1F"/>
    <w:rsid w:val="002073E1"/>
    <w:rsid w:val="0021003E"/>
    <w:rsid w:val="002103F4"/>
    <w:rsid w:val="002110E5"/>
    <w:rsid w:val="002119FE"/>
    <w:rsid w:val="00212093"/>
    <w:rsid w:val="002137AB"/>
    <w:rsid w:val="002139DB"/>
    <w:rsid w:val="0021554D"/>
    <w:rsid w:val="0021687A"/>
    <w:rsid w:val="00217796"/>
    <w:rsid w:val="002204C2"/>
    <w:rsid w:val="00221B98"/>
    <w:rsid w:val="002222B9"/>
    <w:rsid w:val="00227011"/>
    <w:rsid w:val="00230736"/>
    <w:rsid w:val="00230F75"/>
    <w:rsid w:val="00231B6C"/>
    <w:rsid w:val="0023247B"/>
    <w:rsid w:val="0023377E"/>
    <w:rsid w:val="002342B6"/>
    <w:rsid w:val="00234589"/>
    <w:rsid w:val="00234793"/>
    <w:rsid w:val="00234986"/>
    <w:rsid w:val="002372DF"/>
    <w:rsid w:val="00237D40"/>
    <w:rsid w:val="00240868"/>
    <w:rsid w:val="00240D7A"/>
    <w:rsid w:val="00241DE5"/>
    <w:rsid w:val="00243CA5"/>
    <w:rsid w:val="00243F78"/>
    <w:rsid w:val="00244AC2"/>
    <w:rsid w:val="0024572F"/>
    <w:rsid w:val="00245816"/>
    <w:rsid w:val="002469C6"/>
    <w:rsid w:val="00250DD3"/>
    <w:rsid w:val="002511D0"/>
    <w:rsid w:val="002530D2"/>
    <w:rsid w:val="00253444"/>
    <w:rsid w:val="0025361E"/>
    <w:rsid w:val="002536B2"/>
    <w:rsid w:val="002536E2"/>
    <w:rsid w:val="00253D76"/>
    <w:rsid w:val="0025461B"/>
    <w:rsid w:val="00254708"/>
    <w:rsid w:val="00255747"/>
    <w:rsid w:val="0025587E"/>
    <w:rsid w:val="00255C24"/>
    <w:rsid w:val="00256257"/>
    <w:rsid w:val="00256A68"/>
    <w:rsid w:val="00256C16"/>
    <w:rsid w:val="0025731C"/>
    <w:rsid w:val="00257B76"/>
    <w:rsid w:val="00257BBB"/>
    <w:rsid w:val="00257F49"/>
    <w:rsid w:val="00260050"/>
    <w:rsid w:val="00260DE7"/>
    <w:rsid w:val="00260ECF"/>
    <w:rsid w:val="00265CDE"/>
    <w:rsid w:val="0026645F"/>
    <w:rsid w:val="00270E86"/>
    <w:rsid w:val="00271543"/>
    <w:rsid w:val="00271A30"/>
    <w:rsid w:val="00271D83"/>
    <w:rsid w:val="002722A2"/>
    <w:rsid w:val="002725A4"/>
    <w:rsid w:val="00275374"/>
    <w:rsid w:val="002753BD"/>
    <w:rsid w:val="002759B9"/>
    <w:rsid w:val="00275C14"/>
    <w:rsid w:val="00275D2B"/>
    <w:rsid w:val="00277D66"/>
    <w:rsid w:val="00282FBE"/>
    <w:rsid w:val="00285E12"/>
    <w:rsid w:val="00287DAB"/>
    <w:rsid w:val="0029051C"/>
    <w:rsid w:val="0029072D"/>
    <w:rsid w:val="00290F85"/>
    <w:rsid w:val="00291629"/>
    <w:rsid w:val="00291734"/>
    <w:rsid w:val="00292034"/>
    <w:rsid w:val="0029242D"/>
    <w:rsid w:val="002933FD"/>
    <w:rsid w:val="002937F5"/>
    <w:rsid w:val="00293E13"/>
    <w:rsid w:val="00293F11"/>
    <w:rsid w:val="00295137"/>
    <w:rsid w:val="00295DCC"/>
    <w:rsid w:val="0029694B"/>
    <w:rsid w:val="00297B13"/>
    <w:rsid w:val="002A10FC"/>
    <w:rsid w:val="002A1F85"/>
    <w:rsid w:val="002A235B"/>
    <w:rsid w:val="002A2EAF"/>
    <w:rsid w:val="002A3173"/>
    <w:rsid w:val="002A33E5"/>
    <w:rsid w:val="002A4725"/>
    <w:rsid w:val="002A50C3"/>
    <w:rsid w:val="002B0A42"/>
    <w:rsid w:val="002B1334"/>
    <w:rsid w:val="002B1CD5"/>
    <w:rsid w:val="002B2152"/>
    <w:rsid w:val="002B2C0F"/>
    <w:rsid w:val="002B3D62"/>
    <w:rsid w:val="002B559E"/>
    <w:rsid w:val="002B5D73"/>
    <w:rsid w:val="002B6E54"/>
    <w:rsid w:val="002B7011"/>
    <w:rsid w:val="002B714E"/>
    <w:rsid w:val="002C0030"/>
    <w:rsid w:val="002C0230"/>
    <w:rsid w:val="002C05DF"/>
    <w:rsid w:val="002C07AD"/>
    <w:rsid w:val="002C10EC"/>
    <w:rsid w:val="002C2ADC"/>
    <w:rsid w:val="002C4A9C"/>
    <w:rsid w:val="002C4CC0"/>
    <w:rsid w:val="002C54C8"/>
    <w:rsid w:val="002C5924"/>
    <w:rsid w:val="002C5BF8"/>
    <w:rsid w:val="002C7819"/>
    <w:rsid w:val="002D023A"/>
    <w:rsid w:val="002D14D0"/>
    <w:rsid w:val="002D1949"/>
    <w:rsid w:val="002D1CB6"/>
    <w:rsid w:val="002D3134"/>
    <w:rsid w:val="002D4199"/>
    <w:rsid w:val="002D48D0"/>
    <w:rsid w:val="002D4DDA"/>
    <w:rsid w:val="002D5E6B"/>
    <w:rsid w:val="002D6334"/>
    <w:rsid w:val="002D69B3"/>
    <w:rsid w:val="002D7476"/>
    <w:rsid w:val="002E0293"/>
    <w:rsid w:val="002E0B85"/>
    <w:rsid w:val="002E11D1"/>
    <w:rsid w:val="002E1202"/>
    <w:rsid w:val="002E1699"/>
    <w:rsid w:val="002E2501"/>
    <w:rsid w:val="002E52E9"/>
    <w:rsid w:val="002E58B8"/>
    <w:rsid w:val="002E66A9"/>
    <w:rsid w:val="002E7E8F"/>
    <w:rsid w:val="002F095D"/>
    <w:rsid w:val="002F1BFF"/>
    <w:rsid w:val="002F3BE0"/>
    <w:rsid w:val="002F4176"/>
    <w:rsid w:val="002F5DAE"/>
    <w:rsid w:val="002F6DB1"/>
    <w:rsid w:val="0030027F"/>
    <w:rsid w:val="0030037D"/>
    <w:rsid w:val="003004DE"/>
    <w:rsid w:val="00303D48"/>
    <w:rsid w:val="003055A4"/>
    <w:rsid w:val="00306663"/>
    <w:rsid w:val="00307045"/>
    <w:rsid w:val="00310222"/>
    <w:rsid w:val="00311BE3"/>
    <w:rsid w:val="00312594"/>
    <w:rsid w:val="003129FC"/>
    <w:rsid w:val="0031440A"/>
    <w:rsid w:val="003155DB"/>
    <w:rsid w:val="00315FFE"/>
    <w:rsid w:val="003219E5"/>
    <w:rsid w:val="003221B8"/>
    <w:rsid w:val="003253CC"/>
    <w:rsid w:val="003254D7"/>
    <w:rsid w:val="00326260"/>
    <w:rsid w:val="003278E4"/>
    <w:rsid w:val="00327BFB"/>
    <w:rsid w:val="00327CFC"/>
    <w:rsid w:val="00332BB0"/>
    <w:rsid w:val="00332E4B"/>
    <w:rsid w:val="0033347B"/>
    <w:rsid w:val="00334548"/>
    <w:rsid w:val="00334C5C"/>
    <w:rsid w:val="00334DE4"/>
    <w:rsid w:val="00335C0C"/>
    <w:rsid w:val="00336288"/>
    <w:rsid w:val="00336E21"/>
    <w:rsid w:val="003373C1"/>
    <w:rsid w:val="00340A7A"/>
    <w:rsid w:val="00340B4F"/>
    <w:rsid w:val="00340F98"/>
    <w:rsid w:val="00342BBE"/>
    <w:rsid w:val="00342CF1"/>
    <w:rsid w:val="003433FB"/>
    <w:rsid w:val="00343B49"/>
    <w:rsid w:val="00343F67"/>
    <w:rsid w:val="00344E52"/>
    <w:rsid w:val="003452EB"/>
    <w:rsid w:val="00345B93"/>
    <w:rsid w:val="00345F0C"/>
    <w:rsid w:val="00346D9D"/>
    <w:rsid w:val="00347E6F"/>
    <w:rsid w:val="003509AB"/>
    <w:rsid w:val="00351CE8"/>
    <w:rsid w:val="00351E2C"/>
    <w:rsid w:val="00352B15"/>
    <w:rsid w:val="00354BC2"/>
    <w:rsid w:val="00355B7E"/>
    <w:rsid w:val="00356111"/>
    <w:rsid w:val="00356437"/>
    <w:rsid w:val="00356A61"/>
    <w:rsid w:val="003571B6"/>
    <w:rsid w:val="00357420"/>
    <w:rsid w:val="00357612"/>
    <w:rsid w:val="003577F9"/>
    <w:rsid w:val="003601AC"/>
    <w:rsid w:val="003601C7"/>
    <w:rsid w:val="003611BA"/>
    <w:rsid w:val="003625B2"/>
    <w:rsid w:val="00362B31"/>
    <w:rsid w:val="00363DA7"/>
    <w:rsid w:val="0036440A"/>
    <w:rsid w:val="003648A2"/>
    <w:rsid w:val="00364BDE"/>
    <w:rsid w:val="00364F6B"/>
    <w:rsid w:val="00364FB1"/>
    <w:rsid w:val="00365A1E"/>
    <w:rsid w:val="0036688F"/>
    <w:rsid w:val="00370916"/>
    <w:rsid w:val="003724A8"/>
    <w:rsid w:val="00375A3D"/>
    <w:rsid w:val="003760D4"/>
    <w:rsid w:val="003761BD"/>
    <w:rsid w:val="00376D8E"/>
    <w:rsid w:val="0037714B"/>
    <w:rsid w:val="00380738"/>
    <w:rsid w:val="00380EA1"/>
    <w:rsid w:val="003819F2"/>
    <w:rsid w:val="003821C1"/>
    <w:rsid w:val="0038275C"/>
    <w:rsid w:val="00383CA7"/>
    <w:rsid w:val="003871BB"/>
    <w:rsid w:val="00390416"/>
    <w:rsid w:val="00391253"/>
    <w:rsid w:val="003912D4"/>
    <w:rsid w:val="00391DE6"/>
    <w:rsid w:val="003924DB"/>
    <w:rsid w:val="0039419E"/>
    <w:rsid w:val="00394999"/>
    <w:rsid w:val="00394ABF"/>
    <w:rsid w:val="003962C1"/>
    <w:rsid w:val="0039637F"/>
    <w:rsid w:val="0039668B"/>
    <w:rsid w:val="00396856"/>
    <w:rsid w:val="00396DEE"/>
    <w:rsid w:val="00396E43"/>
    <w:rsid w:val="003973DC"/>
    <w:rsid w:val="00397F54"/>
    <w:rsid w:val="003A10AC"/>
    <w:rsid w:val="003A32DD"/>
    <w:rsid w:val="003A4844"/>
    <w:rsid w:val="003A4D3A"/>
    <w:rsid w:val="003A4EC7"/>
    <w:rsid w:val="003A545A"/>
    <w:rsid w:val="003A5D4C"/>
    <w:rsid w:val="003A5F75"/>
    <w:rsid w:val="003A6C21"/>
    <w:rsid w:val="003B0232"/>
    <w:rsid w:val="003B066B"/>
    <w:rsid w:val="003B0D21"/>
    <w:rsid w:val="003B174B"/>
    <w:rsid w:val="003B1D60"/>
    <w:rsid w:val="003B2FE3"/>
    <w:rsid w:val="003B3A87"/>
    <w:rsid w:val="003B3F84"/>
    <w:rsid w:val="003B487D"/>
    <w:rsid w:val="003B518F"/>
    <w:rsid w:val="003B558D"/>
    <w:rsid w:val="003B5CC7"/>
    <w:rsid w:val="003B73BA"/>
    <w:rsid w:val="003C126E"/>
    <w:rsid w:val="003C16F3"/>
    <w:rsid w:val="003C1A9C"/>
    <w:rsid w:val="003C1DDB"/>
    <w:rsid w:val="003C27C7"/>
    <w:rsid w:val="003C2A3F"/>
    <w:rsid w:val="003C5B84"/>
    <w:rsid w:val="003C5E10"/>
    <w:rsid w:val="003C6121"/>
    <w:rsid w:val="003C78DC"/>
    <w:rsid w:val="003D0616"/>
    <w:rsid w:val="003D0F8F"/>
    <w:rsid w:val="003D1593"/>
    <w:rsid w:val="003D3911"/>
    <w:rsid w:val="003D4926"/>
    <w:rsid w:val="003D4BF1"/>
    <w:rsid w:val="003D6750"/>
    <w:rsid w:val="003D6EF1"/>
    <w:rsid w:val="003D77BB"/>
    <w:rsid w:val="003D7B6A"/>
    <w:rsid w:val="003E2BF2"/>
    <w:rsid w:val="003E3AC7"/>
    <w:rsid w:val="003E3AF2"/>
    <w:rsid w:val="003E3D1B"/>
    <w:rsid w:val="003E44D4"/>
    <w:rsid w:val="003E48CF"/>
    <w:rsid w:val="003E49C7"/>
    <w:rsid w:val="003E4B23"/>
    <w:rsid w:val="003E4C41"/>
    <w:rsid w:val="003E509F"/>
    <w:rsid w:val="003E6F95"/>
    <w:rsid w:val="003E7340"/>
    <w:rsid w:val="003E7C7D"/>
    <w:rsid w:val="003F002B"/>
    <w:rsid w:val="003F11D2"/>
    <w:rsid w:val="003F1FF4"/>
    <w:rsid w:val="003F22EE"/>
    <w:rsid w:val="003F518A"/>
    <w:rsid w:val="003F53F1"/>
    <w:rsid w:val="003F5D4D"/>
    <w:rsid w:val="003F7790"/>
    <w:rsid w:val="003F78F1"/>
    <w:rsid w:val="003F7B78"/>
    <w:rsid w:val="003F7F5A"/>
    <w:rsid w:val="0040179E"/>
    <w:rsid w:val="00402FA5"/>
    <w:rsid w:val="00403CE6"/>
    <w:rsid w:val="00404FA1"/>
    <w:rsid w:val="00405EF1"/>
    <w:rsid w:val="00407A3A"/>
    <w:rsid w:val="00407DB6"/>
    <w:rsid w:val="004101B5"/>
    <w:rsid w:val="004113D9"/>
    <w:rsid w:val="004118CB"/>
    <w:rsid w:val="004119EA"/>
    <w:rsid w:val="0041295E"/>
    <w:rsid w:val="00415799"/>
    <w:rsid w:val="004158E6"/>
    <w:rsid w:val="00415F1E"/>
    <w:rsid w:val="00416FC3"/>
    <w:rsid w:val="00417557"/>
    <w:rsid w:val="00420648"/>
    <w:rsid w:val="004208E8"/>
    <w:rsid w:val="00420BFE"/>
    <w:rsid w:val="00421093"/>
    <w:rsid w:val="004212F0"/>
    <w:rsid w:val="00421723"/>
    <w:rsid w:val="00423498"/>
    <w:rsid w:val="00423D6C"/>
    <w:rsid w:val="004249BE"/>
    <w:rsid w:val="00424D5B"/>
    <w:rsid w:val="00424D6F"/>
    <w:rsid w:val="004255EF"/>
    <w:rsid w:val="0042585D"/>
    <w:rsid w:val="004272BA"/>
    <w:rsid w:val="00430D35"/>
    <w:rsid w:val="00433505"/>
    <w:rsid w:val="00433514"/>
    <w:rsid w:val="00435388"/>
    <w:rsid w:val="0043709A"/>
    <w:rsid w:val="00437B5D"/>
    <w:rsid w:val="00440FA7"/>
    <w:rsid w:val="00441077"/>
    <w:rsid w:val="00441111"/>
    <w:rsid w:val="00444AB1"/>
    <w:rsid w:val="00445EEE"/>
    <w:rsid w:val="004462A9"/>
    <w:rsid w:val="00447291"/>
    <w:rsid w:val="00447536"/>
    <w:rsid w:val="004478E1"/>
    <w:rsid w:val="0044799B"/>
    <w:rsid w:val="00450194"/>
    <w:rsid w:val="004527D9"/>
    <w:rsid w:val="00453F82"/>
    <w:rsid w:val="00454E17"/>
    <w:rsid w:val="00454F2C"/>
    <w:rsid w:val="00455532"/>
    <w:rsid w:val="00456148"/>
    <w:rsid w:val="004568DF"/>
    <w:rsid w:val="004572B8"/>
    <w:rsid w:val="004576B1"/>
    <w:rsid w:val="004600FB"/>
    <w:rsid w:val="004610CD"/>
    <w:rsid w:val="004622F3"/>
    <w:rsid w:val="0046235B"/>
    <w:rsid w:val="0046327A"/>
    <w:rsid w:val="004632FF"/>
    <w:rsid w:val="00464238"/>
    <w:rsid w:val="00464619"/>
    <w:rsid w:val="004648E8"/>
    <w:rsid w:val="00465C7D"/>
    <w:rsid w:val="00465FA2"/>
    <w:rsid w:val="00467676"/>
    <w:rsid w:val="00467857"/>
    <w:rsid w:val="00467B5B"/>
    <w:rsid w:val="00470D69"/>
    <w:rsid w:val="004714A6"/>
    <w:rsid w:val="00471DD0"/>
    <w:rsid w:val="00473043"/>
    <w:rsid w:val="00473979"/>
    <w:rsid w:val="00473A71"/>
    <w:rsid w:val="00476411"/>
    <w:rsid w:val="004804E6"/>
    <w:rsid w:val="00480A72"/>
    <w:rsid w:val="00482B9A"/>
    <w:rsid w:val="00483C85"/>
    <w:rsid w:val="0048729B"/>
    <w:rsid w:val="00487419"/>
    <w:rsid w:val="00490020"/>
    <w:rsid w:val="004904B6"/>
    <w:rsid w:val="0049089B"/>
    <w:rsid w:val="00490D5B"/>
    <w:rsid w:val="00491205"/>
    <w:rsid w:val="00493145"/>
    <w:rsid w:val="0049376A"/>
    <w:rsid w:val="0049386C"/>
    <w:rsid w:val="004944B9"/>
    <w:rsid w:val="0049768E"/>
    <w:rsid w:val="00497A49"/>
    <w:rsid w:val="00497F3C"/>
    <w:rsid w:val="004A05DB"/>
    <w:rsid w:val="004A0F34"/>
    <w:rsid w:val="004A2FC6"/>
    <w:rsid w:val="004A451F"/>
    <w:rsid w:val="004A46E3"/>
    <w:rsid w:val="004A5102"/>
    <w:rsid w:val="004A569B"/>
    <w:rsid w:val="004A5DEB"/>
    <w:rsid w:val="004A7BE8"/>
    <w:rsid w:val="004B2CFB"/>
    <w:rsid w:val="004B3DBB"/>
    <w:rsid w:val="004B3E75"/>
    <w:rsid w:val="004B4049"/>
    <w:rsid w:val="004B4FAC"/>
    <w:rsid w:val="004B521A"/>
    <w:rsid w:val="004B5C0B"/>
    <w:rsid w:val="004B5CA6"/>
    <w:rsid w:val="004B6902"/>
    <w:rsid w:val="004C09BD"/>
    <w:rsid w:val="004C1368"/>
    <w:rsid w:val="004C15AC"/>
    <w:rsid w:val="004C1C9E"/>
    <w:rsid w:val="004C3519"/>
    <w:rsid w:val="004C3B1E"/>
    <w:rsid w:val="004C43E3"/>
    <w:rsid w:val="004C4B07"/>
    <w:rsid w:val="004C4C42"/>
    <w:rsid w:val="004C4CED"/>
    <w:rsid w:val="004C7D0C"/>
    <w:rsid w:val="004D1C3C"/>
    <w:rsid w:val="004D298C"/>
    <w:rsid w:val="004D2EB1"/>
    <w:rsid w:val="004D5404"/>
    <w:rsid w:val="004D5750"/>
    <w:rsid w:val="004D583D"/>
    <w:rsid w:val="004D5DC0"/>
    <w:rsid w:val="004D6D0B"/>
    <w:rsid w:val="004D794A"/>
    <w:rsid w:val="004D7AFF"/>
    <w:rsid w:val="004D7F35"/>
    <w:rsid w:val="004E04FA"/>
    <w:rsid w:val="004E116E"/>
    <w:rsid w:val="004E26C7"/>
    <w:rsid w:val="004E3388"/>
    <w:rsid w:val="004E526D"/>
    <w:rsid w:val="004E5979"/>
    <w:rsid w:val="004E62C6"/>
    <w:rsid w:val="004E6391"/>
    <w:rsid w:val="004E6736"/>
    <w:rsid w:val="004E6E6B"/>
    <w:rsid w:val="004E70A4"/>
    <w:rsid w:val="004E71BE"/>
    <w:rsid w:val="004F004D"/>
    <w:rsid w:val="004F032E"/>
    <w:rsid w:val="004F0600"/>
    <w:rsid w:val="004F0C6A"/>
    <w:rsid w:val="004F0D8A"/>
    <w:rsid w:val="004F0E6F"/>
    <w:rsid w:val="004F2159"/>
    <w:rsid w:val="004F2EEE"/>
    <w:rsid w:val="004F3ED7"/>
    <w:rsid w:val="004F473D"/>
    <w:rsid w:val="004F47D5"/>
    <w:rsid w:val="004F6E09"/>
    <w:rsid w:val="0050122F"/>
    <w:rsid w:val="0050153C"/>
    <w:rsid w:val="0050184D"/>
    <w:rsid w:val="00501B24"/>
    <w:rsid w:val="00502119"/>
    <w:rsid w:val="005029BA"/>
    <w:rsid w:val="00504F1E"/>
    <w:rsid w:val="005050ED"/>
    <w:rsid w:val="005056D3"/>
    <w:rsid w:val="005062E9"/>
    <w:rsid w:val="00510678"/>
    <w:rsid w:val="005108E7"/>
    <w:rsid w:val="00510D04"/>
    <w:rsid w:val="00512DA2"/>
    <w:rsid w:val="005131A1"/>
    <w:rsid w:val="00513D0A"/>
    <w:rsid w:val="00514061"/>
    <w:rsid w:val="00514C84"/>
    <w:rsid w:val="00514DB0"/>
    <w:rsid w:val="005150B5"/>
    <w:rsid w:val="0051590C"/>
    <w:rsid w:val="00515AB9"/>
    <w:rsid w:val="00515EE3"/>
    <w:rsid w:val="00516B00"/>
    <w:rsid w:val="00516E69"/>
    <w:rsid w:val="00517628"/>
    <w:rsid w:val="005177DA"/>
    <w:rsid w:val="0051784F"/>
    <w:rsid w:val="00517B1F"/>
    <w:rsid w:val="00520C0E"/>
    <w:rsid w:val="00522992"/>
    <w:rsid w:val="00522D36"/>
    <w:rsid w:val="00522EAC"/>
    <w:rsid w:val="005248EC"/>
    <w:rsid w:val="00526625"/>
    <w:rsid w:val="0052682B"/>
    <w:rsid w:val="0052692E"/>
    <w:rsid w:val="00526E34"/>
    <w:rsid w:val="0052758F"/>
    <w:rsid w:val="00527D8C"/>
    <w:rsid w:val="00532B67"/>
    <w:rsid w:val="00533A91"/>
    <w:rsid w:val="00533D99"/>
    <w:rsid w:val="00534C8D"/>
    <w:rsid w:val="00535513"/>
    <w:rsid w:val="00535EFD"/>
    <w:rsid w:val="00536467"/>
    <w:rsid w:val="0053682F"/>
    <w:rsid w:val="00536B3C"/>
    <w:rsid w:val="0054131B"/>
    <w:rsid w:val="0054282A"/>
    <w:rsid w:val="00543FB2"/>
    <w:rsid w:val="00544094"/>
    <w:rsid w:val="0054561D"/>
    <w:rsid w:val="00546C96"/>
    <w:rsid w:val="00547E99"/>
    <w:rsid w:val="005504E6"/>
    <w:rsid w:val="00550B1B"/>
    <w:rsid w:val="0055169C"/>
    <w:rsid w:val="00553198"/>
    <w:rsid w:val="005566E5"/>
    <w:rsid w:val="00557040"/>
    <w:rsid w:val="005579C0"/>
    <w:rsid w:val="00560B2E"/>
    <w:rsid w:val="005611E6"/>
    <w:rsid w:val="00561928"/>
    <w:rsid w:val="00561C76"/>
    <w:rsid w:val="005624C3"/>
    <w:rsid w:val="0056335F"/>
    <w:rsid w:val="005643C7"/>
    <w:rsid w:val="0056494F"/>
    <w:rsid w:val="005652EE"/>
    <w:rsid w:val="00565665"/>
    <w:rsid w:val="00566E86"/>
    <w:rsid w:val="00570F56"/>
    <w:rsid w:val="0057111E"/>
    <w:rsid w:val="00571400"/>
    <w:rsid w:val="005719AC"/>
    <w:rsid w:val="00572185"/>
    <w:rsid w:val="00572D10"/>
    <w:rsid w:val="0057312A"/>
    <w:rsid w:val="00576156"/>
    <w:rsid w:val="00576E5E"/>
    <w:rsid w:val="00577E68"/>
    <w:rsid w:val="00577EE5"/>
    <w:rsid w:val="00580B80"/>
    <w:rsid w:val="005814F5"/>
    <w:rsid w:val="005816BD"/>
    <w:rsid w:val="00581DBC"/>
    <w:rsid w:val="005822D2"/>
    <w:rsid w:val="0058288A"/>
    <w:rsid w:val="00582E10"/>
    <w:rsid w:val="0058324A"/>
    <w:rsid w:val="00583DB5"/>
    <w:rsid w:val="00585D44"/>
    <w:rsid w:val="00586A5B"/>
    <w:rsid w:val="00587C38"/>
    <w:rsid w:val="00587F55"/>
    <w:rsid w:val="00590327"/>
    <w:rsid w:val="00590F6F"/>
    <w:rsid w:val="00593A39"/>
    <w:rsid w:val="00593C66"/>
    <w:rsid w:val="005945E6"/>
    <w:rsid w:val="00594AFE"/>
    <w:rsid w:val="00594E00"/>
    <w:rsid w:val="00594EC1"/>
    <w:rsid w:val="00594F7A"/>
    <w:rsid w:val="0059559F"/>
    <w:rsid w:val="00595D8B"/>
    <w:rsid w:val="00596302"/>
    <w:rsid w:val="00596655"/>
    <w:rsid w:val="00597225"/>
    <w:rsid w:val="00597384"/>
    <w:rsid w:val="005978FE"/>
    <w:rsid w:val="005A035F"/>
    <w:rsid w:val="005A155F"/>
    <w:rsid w:val="005A1732"/>
    <w:rsid w:val="005A18A5"/>
    <w:rsid w:val="005A1F46"/>
    <w:rsid w:val="005A2061"/>
    <w:rsid w:val="005A4CED"/>
    <w:rsid w:val="005A4E8D"/>
    <w:rsid w:val="005A4FE7"/>
    <w:rsid w:val="005A5933"/>
    <w:rsid w:val="005A5C1C"/>
    <w:rsid w:val="005A634B"/>
    <w:rsid w:val="005A73FA"/>
    <w:rsid w:val="005B029E"/>
    <w:rsid w:val="005B098D"/>
    <w:rsid w:val="005B205E"/>
    <w:rsid w:val="005B23AE"/>
    <w:rsid w:val="005B4E34"/>
    <w:rsid w:val="005B52ED"/>
    <w:rsid w:val="005B5320"/>
    <w:rsid w:val="005B55DB"/>
    <w:rsid w:val="005B5792"/>
    <w:rsid w:val="005B599C"/>
    <w:rsid w:val="005B67B5"/>
    <w:rsid w:val="005B7F79"/>
    <w:rsid w:val="005C2294"/>
    <w:rsid w:val="005C3167"/>
    <w:rsid w:val="005C3D3F"/>
    <w:rsid w:val="005C478A"/>
    <w:rsid w:val="005C4C61"/>
    <w:rsid w:val="005C50C8"/>
    <w:rsid w:val="005C64E7"/>
    <w:rsid w:val="005C7360"/>
    <w:rsid w:val="005C7954"/>
    <w:rsid w:val="005C7C38"/>
    <w:rsid w:val="005D05CF"/>
    <w:rsid w:val="005D12AE"/>
    <w:rsid w:val="005D1BF8"/>
    <w:rsid w:val="005D34B7"/>
    <w:rsid w:val="005D4D80"/>
    <w:rsid w:val="005D5136"/>
    <w:rsid w:val="005D54D7"/>
    <w:rsid w:val="005E0058"/>
    <w:rsid w:val="005E0535"/>
    <w:rsid w:val="005E0E1F"/>
    <w:rsid w:val="005E328A"/>
    <w:rsid w:val="005E3C31"/>
    <w:rsid w:val="005E515E"/>
    <w:rsid w:val="005E6E85"/>
    <w:rsid w:val="005E7092"/>
    <w:rsid w:val="005F0CF8"/>
    <w:rsid w:val="005F1F74"/>
    <w:rsid w:val="005F2BF9"/>
    <w:rsid w:val="005F36B9"/>
    <w:rsid w:val="005F3E66"/>
    <w:rsid w:val="005F3E99"/>
    <w:rsid w:val="005F7308"/>
    <w:rsid w:val="005F7FFB"/>
    <w:rsid w:val="006001A6"/>
    <w:rsid w:val="006007BA"/>
    <w:rsid w:val="0060161C"/>
    <w:rsid w:val="0060187D"/>
    <w:rsid w:val="00601E41"/>
    <w:rsid w:val="00604670"/>
    <w:rsid w:val="00605931"/>
    <w:rsid w:val="00612691"/>
    <w:rsid w:val="00612A67"/>
    <w:rsid w:val="006147D8"/>
    <w:rsid w:val="00614B49"/>
    <w:rsid w:val="006150B7"/>
    <w:rsid w:val="00616A90"/>
    <w:rsid w:val="00616AED"/>
    <w:rsid w:val="00620157"/>
    <w:rsid w:val="00620598"/>
    <w:rsid w:val="00620EB5"/>
    <w:rsid w:val="006220D3"/>
    <w:rsid w:val="00623D31"/>
    <w:rsid w:val="006253CC"/>
    <w:rsid w:val="006253FD"/>
    <w:rsid w:val="00625834"/>
    <w:rsid w:val="00626173"/>
    <w:rsid w:val="00626880"/>
    <w:rsid w:val="006315BE"/>
    <w:rsid w:val="00633252"/>
    <w:rsid w:val="00633471"/>
    <w:rsid w:val="00633813"/>
    <w:rsid w:val="00633C1C"/>
    <w:rsid w:val="00635231"/>
    <w:rsid w:val="0063562E"/>
    <w:rsid w:val="006356FE"/>
    <w:rsid w:val="00635CAA"/>
    <w:rsid w:val="00636A2C"/>
    <w:rsid w:val="00636BEE"/>
    <w:rsid w:val="00641135"/>
    <w:rsid w:val="00643CF9"/>
    <w:rsid w:val="006451A1"/>
    <w:rsid w:val="00645F45"/>
    <w:rsid w:val="006461A5"/>
    <w:rsid w:val="0064797C"/>
    <w:rsid w:val="00650979"/>
    <w:rsid w:val="00652339"/>
    <w:rsid w:val="00653BB1"/>
    <w:rsid w:val="00654373"/>
    <w:rsid w:val="00655E9A"/>
    <w:rsid w:val="00656945"/>
    <w:rsid w:val="006569BE"/>
    <w:rsid w:val="00657D3E"/>
    <w:rsid w:val="00657DD2"/>
    <w:rsid w:val="006613BE"/>
    <w:rsid w:val="00663097"/>
    <w:rsid w:val="00663A0B"/>
    <w:rsid w:val="006644CB"/>
    <w:rsid w:val="00664AE5"/>
    <w:rsid w:val="0066542A"/>
    <w:rsid w:val="00666517"/>
    <w:rsid w:val="006674D0"/>
    <w:rsid w:val="00667C52"/>
    <w:rsid w:val="00670CE7"/>
    <w:rsid w:val="00673705"/>
    <w:rsid w:val="00673A14"/>
    <w:rsid w:val="00674C4F"/>
    <w:rsid w:val="00676ACC"/>
    <w:rsid w:val="00676ADD"/>
    <w:rsid w:val="00676C1E"/>
    <w:rsid w:val="00677650"/>
    <w:rsid w:val="00677B8F"/>
    <w:rsid w:val="006815FB"/>
    <w:rsid w:val="00682819"/>
    <w:rsid w:val="00682F3F"/>
    <w:rsid w:val="00684584"/>
    <w:rsid w:val="00684CB6"/>
    <w:rsid w:val="006852E1"/>
    <w:rsid w:val="006860DB"/>
    <w:rsid w:val="00687562"/>
    <w:rsid w:val="006877D4"/>
    <w:rsid w:val="0069103C"/>
    <w:rsid w:val="006922B1"/>
    <w:rsid w:val="006939BD"/>
    <w:rsid w:val="00693C79"/>
    <w:rsid w:val="00696665"/>
    <w:rsid w:val="00697B7D"/>
    <w:rsid w:val="00697D19"/>
    <w:rsid w:val="006A009C"/>
    <w:rsid w:val="006A06E0"/>
    <w:rsid w:val="006A0B37"/>
    <w:rsid w:val="006A13A3"/>
    <w:rsid w:val="006A2662"/>
    <w:rsid w:val="006A2929"/>
    <w:rsid w:val="006A3433"/>
    <w:rsid w:val="006A4696"/>
    <w:rsid w:val="006A4839"/>
    <w:rsid w:val="006A4D59"/>
    <w:rsid w:val="006A53C6"/>
    <w:rsid w:val="006A65AA"/>
    <w:rsid w:val="006A7B15"/>
    <w:rsid w:val="006B020A"/>
    <w:rsid w:val="006B060C"/>
    <w:rsid w:val="006B0691"/>
    <w:rsid w:val="006B0B69"/>
    <w:rsid w:val="006B1627"/>
    <w:rsid w:val="006B28D8"/>
    <w:rsid w:val="006B29B5"/>
    <w:rsid w:val="006B3D24"/>
    <w:rsid w:val="006B735F"/>
    <w:rsid w:val="006B7CA2"/>
    <w:rsid w:val="006B7DA8"/>
    <w:rsid w:val="006B7F1D"/>
    <w:rsid w:val="006C225F"/>
    <w:rsid w:val="006C311E"/>
    <w:rsid w:val="006C3E49"/>
    <w:rsid w:val="006C5B10"/>
    <w:rsid w:val="006C68C8"/>
    <w:rsid w:val="006D130F"/>
    <w:rsid w:val="006D2003"/>
    <w:rsid w:val="006D2336"/>
    <w:rsid w:val="006D3054"/>
    <w:rsid w:val="006D3786"/>
    <w:rsid w:val="006D5BFA"/>
    <w:rsid w:val="006D6CFE"/>
    <w:rsid w:val="006E08FA"/>
    <w:rsid w:val="006E2671"/>
    <w:rsid w:val="006E30CE"/>
    <w:rsid w:val="006E498A"/>
    <w:rsid w:val="006E6126"/>
    <w:rsid w:val="006F194F"/>
    <w:rsid w:val="006F1CD2"/>
    <w:rsid w:val="006F216A"/>
    <w:rsid w:val="006F2C79"/>
    <w:rsid w:val="006F37C3"/>
    <w:rsid w:val="006F40E6"/>
    <w:rsid w:val="006F4115"/>
    <w:rsid w:val="006F5850"/>
    <w:rsid w:val="006F6E6F"/>
    <w:rsid w:val="006F7795"/>
    <w:rsid w:val="00700E9D"/>
    <w:rsid w:val="00700EE5"/>
    <w:rsid w:val="00701DD2"/>
    <w:rsid w:val="00702B35"/>
    <w:rsid w:val="00703B51"/>
    <w:rsid w:val="00705098"/>
    <w:rsid w:val="00705D83"/>
    <w:rsid w:val="00705EBB"/>
    <w:rsid w:val="00706529"/>
    <w:rsid w:val="00706C08"/>
    <w:rsid w:val="00706ED4"/>
    <w:rsid w:val="00707D8A"/>
    <w:rsid w:val="0071042A"/>
    <w:rsid w:val="00710A1E"/>
    <w:rsid w:val="00712F33"/>
    <w:rsid w:val="00713CB5"/>
    <w:rsid w:val="00715642"/>
    <w:rsid w:val="007169D6"/>
    <w:rsid w:val="00716B40"/>
    <w:rsid w:val="007175E9"/>
    <w:rsid w:val="007228A0"/>
    <w:rsid w:val="00722A50"/>
    <w:rsid w:val="00722E8A"/>
    <w:rsid w:val="00722F40"/>
    <w:rsid w:val="00723C8E"/>
    <w:rsid w:val="007245A4"/>
    <w:rsid w:val="00725C85"/>
    <w:rsid w:val="0072635D"/>
    <w:rsid w:val="00726EEF"/>
    <w:rsid w:val="00730A97"/>
    <w:rsid w:val="007328C7"/>
    <w:rsid w:val="007329E8"/>
    <w:rsid w:val="00732BF6"/>
    <w:rsid w:val="0073324E"/>
    <w:rsid w:val="00733A82"/>
    <w:rsid w:val="00733D56"/>
    <w:rsid w:val="007341AA"/>
    <w:rsid w:val="00734DD7"/>
    <w:rsid w:val="007358ED"/>
    <w:rsid w:val="00741ADA"/>
    <w:rsid w:val="00742428"/>
    <w:rsid w:val="00743AD7"/>
    <w:rsid w:val="00743B33"/>
    <w:rsid w:val="00743C2D"/>
    <w:rsid w:val="007446CE"/>
    <w:rsid w:val="007447A8"/>
    <w:rsid w:val="007453A3"/>
    <w:rsid w:val="00746475"/>
    <w:rsid w:val="007534CE"/>
    <w:rsid w:val="00753B41"/>
    <w:rsid w:val="00753E91"/>
    <w:rsid w:val="00754EBE"/>
    <w:rsid w:val="0075605E"/>
    <w:rsid w:val="00756BFD"/>
    <w:rsid w:val="00756D14"/>
    <w:rsid w:val="00756D9B"/>
    <w:rsid w:val="00757AA2"/>
    <w:rsid w:val="00757BD5"/>
    <w:rsid w:val="00760605"/>
    <w:rsid w:val="00760785"/>
    <w:rsid w:val="0076094F"/>
    <w:rsid w:val="007609D0"/>
    <w:rsid w:val="00761C4F"/>
    <w:rsid w:val="00764414"/>
    <w:rsid w:val="00764F1E"/>
    <w:rsid w:val="007652C3"/>
    <w:rsid w:val="00765B30"/>
    <w:rsid w:val="00765EFA"/>
    <w:rsid w:val="00767A84"/>
    <w:rsid w:val="00767D9D"/>
    <w:rsid w:val="0077197D"/>
    <w:rsid w:val="00772A36"/>
    <w:rsid w:val="00772DA9"/>
    <w:rsid w:val="00772E37"/>
    <w:rsid w:val="007739FF"/>
    <w:rsid w:val="007754EC"/>
    <w:rsid w:val="00775D48"/>
    <w:rsid w:val="00777741"/>
    <w:rsid w:val="00777F9C"/>
    <w:rsid w:val="0078218D"/>
    <w:rsid w:val="00782501"/>
    <w:rsid w:val="00783847"/>
    <w:rsid w:val="0078676D"/>
    <w:rsid w:val="00787084"/>
    <w:rsid w:val="00791BE5"/>
    <w:rsid w:val="00791E3F"/>
    <w:rsid w:val="00791E54"/>
    <w:rsid w:val="007920C6"/>
    <w:rsid w:val="00792148"/>
    <w:rsid w:val="00792500"/>
    <w:rsid w:val="007925C4"/>
    <w:rsid w:val="007930D5"/>
    <w:rsid w:val="00793B0A"/>
    <w:rsid w:val="007952DC"/>
    <w:rsid w:val="007959BE"/>
    <w:rsid w:val="00795B3E"/>
    <w:rsid w:val="007978B8"/>
    <w:rsid w:val="00797CE6"/>
    <w:rsid w:val="00797FE4"/>
    <w:rsid w:val="007A067C"/>
    <w:rsid w:val="007A12BB"/>
    <w:rsid w:val="007A2324"/>
    <w:rsid w:val="007A35C0"/>
    <w:rsid w:val="007A6807"/>
    <w:rsid w:val="007A6B46"/>
    <w:rsid w:val="007A7653"/>
    <w:rsid w:val="007A7880"/>
    <w:rsid w:val="007A7F3C"/>
    <w:rsid w:val="007B03E5"/>
    <w:rsid w:val="007B066F"/>
    <w:rsid w:val="007B23AE"/>
    <w:rsid w:val="007B27FE"/>
    <w:rsid w:val="007B2813"/>
    <w:rsid w:val="007B3793"/>
    <w:rsid w:val="007B43FF"/>
    <w:rsid w:val="007B48BA"/>
    <w:rsid w:val="007B4E0C"/>
    <w:rsid w:val="007B5A28"/>
    <w:rsid w:val="007B66AF"/>
    <w:rsid w:val="007B6752"/>
    <w:rsid w:val="007B7198"/>
    <w:rsid w:val="007B7B51"/>
    <w:rsid w:val="007C0445"/>
    <w:rsid w:val="007C0AF9"/>
    <w:rsid w:val="007C0B5E"/>
    <w:rsid w:val="007C0DF4"/>
    <w:rsid w:val="007C141C"/>
    <w:rsid w:val="007C143A"/>
    <w:rsid w:val="007C1530"/>
    <w:rsid w:val="007C261F"/>
    <w:rsid w:val="007C3274"/>
    <w:rsid w:val="007C37AF"/>
    <w:rsid w:val="007C64A0"/>
    <w:rsid w:val="007C6C05"/>
    <w:rsid w:val="007D0546"/>
    <w:rsid w:val="007D115D"/>
    <w:rsid w:val="007D2497"/>
    <w:rsid w:val="007D2678"/>
    <w:rsid w:val="007D32E1"/>
    <w:rsid w:val="007D36BC"/>
    <w:rsid w:val="007D3878"/>
    <w:rsid w:val="007D549E"/>
    <w:rsid w:val="007D5574"/>
    <w:rsid w:val="007D68F2"/>
    <w:rsid w:val="007E0671"/>
    <w:rsid w:val="007E0A5E"/>
    <w:rsid w:val="007E226F"/>
    <w:rsid w:val="007E265C"/>
    <w:rsid w:val="007E337C"/>
    <w:rsid w:val="007E339D"/>
    <w:rsid w:val="007E3628"/>
    <w:rsid w:val="007E36B0"/>
    <w:rsid w:val="007E46D6"/>
    <w:rsid w:val="007E4A2D"/>
    <w:rsid w:val="007E5AF7"/>
    <w:rsid w:val="007E790E"/>
    <w:rsid w:val="007F073D"/>
    <w:rsid w:val="007F0A77"/>
    <w:rsid w:val="007F1146"/>
    <w:rsid w:val="007F1897"/>
    <w:rsid w:val="007F1C2C"/>
    <w:rsid w:val="007F5597"/>
    <w:rsid w:val="007F58FA"/>
    <w:rsid w:val="007F626C"/>
    <w:rsid w:val="007F6D8E"/>
    <w:rsid w:val="007F6E16"/>
    <w:rsid w:val="007F7197"/>
    <w:rsid w:val="007F737D"/>
    <w:rsid w:val="00800DC0"/>
    <w:rsid w:val="00801558"/>
    <w:rsid w:val="00803E5D"/>
    <w:rsid w:val="00804D03"/>
    <w:rsid w:val="008053AF"/>
    <w:rsid w:val="00805943"/>
    <w:rsid w:val="008059F3"/>
    <w:rsid w:val="00805AB7"/>
    <w:rsid w:val="00807EEB"/>
    <w:rsid w:val="00807F36"/>
    <w:rsid w:val="00810BB0"/>
    <w:rsid w:val="00810F9C"/>
    <w:rsid w:val="0081279B"/>
    <w:rsid w:val="00812B32"/>
    <w:rsid w:val="00812BD3"/>
    <w:rsid w:val="00812C59"/>
    <w:rsid w:val="0081490E"/>
    <w:rsid w:val="00815C31"/>
    <w:rsid w:val="00816775"/>
    <w:rsid w:val="00817C88"/>
    <w:rsid w:val="00820AF8"/>
    <w:rsid w:val="00822649"/>
    <w:rsid w:val="00823CFE"/>
    <w:rsid w:val="008265D3"/>
    <w:rsid w:val="00826A88"/>
    <w:rsid w:val="00827AF8"/>
    <w:rsid w:val="00830108"/>
    <w:rsid w:val="0083095D"/>
    <w:rsid w:val="00831135"/>
    <w:rsid w:val="00831B79"/>
    <w:rsid w:val="00832EB3"/>
    <w:rsid w:val="008345A5"/>
    <w:rsid w:val="008352F8"/>
    <w:rsid w:val="008363C6"/>
    <w:rsid w:val="008369B4"/>
    <w:rsid w:val="0083782C"/>
    <w:rsid w:val="008378CB"/>
    <w:rsid w:val="008378E0"/>
    <w:rsid w:val="0084073D"/>
    <w:rsid w:val="008407A5"/>
    <w:rsid w:val="00842280"/>
    <w:rsid w:val="008429CA"/>
    <w:rsid w:val="00843DD9"/>
    <w:rsid w:val="00845289"/>
    <w:rsid w:val="008452FE"/>
    <w:rsid w:val="00845F7E"/>
    <w:rsid w:val="008461C2"/>
    <w:rsid w:val="0085043D"/>
    <w:rsid w:val="008515E7"/>
    <w:rsid w:val="008533F3"/>
    <w:rsid w:val="0085394F"/>
    <w:rsid w:val="00855249"/>
    <w:rsid w:val="00855251"/>
    <w:rsid w:val="00855E86"/>
    <w:rsid w:val="00857016"/>
    <w:rsid w:val="0085768D"/>
    <w:rsid w:val="008576BA"/>
    <w:rsid w:val="00857A3F"/>
    <w:rsid w:val="0086063B"/>
    <w:rsid w:val="00861792"/>
    <w:rsid w:val="00861F8B"/>
    <w:rsid w:val="00862A60"/>
    <w:rsid w:val="00862E08"/>
    <w:rsid w:val="008634E7"/>
    <w:rsid w:val="00863D5D"/>
    <w:rsid w:val="00864A4D"/>
    <w:rsid w:val="00864ED1"/>
    <w:rsid w:val="00864F86"/>
    <w:rsid w:val="00866408"/>
    <w:rsid w:val="00866750"/>
    <w:rsid w:val="008667EE"/>
    <w:rsid w:val="0086714C"/>
    <w:rsid w:val="008702CF"/>
    <w:rsid w:val="008722CC"/>
    <w:rsid w:val="00872D04"/>
    <w:rsid w:val="00872D19"/>
    <w:rsid w:val="008741EC"/>
    <w:rsid w:val="00874A6A"/>
    <w:rsid w:val="00874D2A"/>
    <w:rsid w:val="0087731F"/>
    <w:rsid w:val="008773D9"/>
    <w:rsid w:val="00881826"/>
    <w:rsid w:val="0088187F"/>
    <w:rsid w:val="008821E5"/>
    <w:rsid w:val="008836F3"/>
    <w:rsid w:val="00883E6E"/>
    <w:rsid w:val="00883ED7"/>
    <w:rsid w:val="00884987"/>
    <w:rsid w:val="008853B2"/>
    <w:rsid w:val="008859F7"/>
    <w:rsid w:val="00885F73"/>
    <w:rsid w:val="008863A2"/>
    <w:rsid w:val="008864F6"/>
    <w:rsid w:val="00886909"/>
    <w:rsid w:val="0088797C"/>
    <w:rsid w:val="0089005D"/>
    <w:rsid w:val="0089091B"/>
    <w:rsid w:val="00890A4D"/>
    <w:rsid w:val="00890EC8"/>
    <w:rsid w:val="00890F8C"/>
    <w:rsid w:val="008911B1"/>
    <w:rsid w:val="008911FB"/>
    <w:rsid w:val="0089123D"/>
    <w:rsid w:val="00891C2A"/>
    <w:rsid w:val="00892692"/>
    <w:rsid w:val="00894417"/>
    <w:rsid w:val="00894536"/>
    <w:rsid w:val="008957B4"/>
    <w:rsid w:val="00895C45"/>
    <w:rsid w:val="0089784A"/>
    <w:rsid w:val="0089795D"/>
    <w:rsid w:val="00897CB4"/>
    <w:rsid w:val="008A069B"/>
    <w:rsid w:val="008A25EB"/>
    <w:rsid w:val="008A26FB"/>
    <w:rsid w:val="008A703B"/>
    <w:rsid w:val="008B0040"/>
    <w:rsid w:val="008B00B8"/>
    <w:rsid w:val="008B196D"/>
    <w:rsid w:val="008B1B2F"/>
    <w:rsid w:val="008B1B5F"/>
    <w:rsid w:val="008B3078"/>
    <w:rsid w:val="008B4BF3"/>
    <w:rsid w:val="008B4ED3"/>
    <w:rsid w:val="008B51D8"/>
    <w:rsid w:val="008B5647"/>
    <w:rsid w:val="008B721E"/>
    <w:rsid w:val="008C36E8"/>
    <w:rsid w:val="008C39E8"/>
    <w:rsid w:val="008C5282"/>
    <w:rsid w:val="008C6BC3"/>
    <w:rsid w:val="008C6FAF"/>
    <w:rsid w:val="008C7007"/>
    <w:rsid w:val="008D0E45"/>
    <w:rsid w:val="008D1067"/>
    <w:rsid w:val="008D3486"/>
    <w:rsid w:val="008D6389"/>
    <w:rsid w:val="008D78C7"/>
    <w:rsid w:val="008E1045"/>
    <w:rsid w:val="008E174D"/>
    <w:rsid w:val="008E1F03"/>
    <w:rsid w:val="008E25B4"/>
    <w:rsid w:val="008E3F37"/>
    <w:rsid w:val="008E420C"/>
    <w:rsid w:val="008E71A4"/>
    <w:rsid w:val="008E760D"/>
    <w:rsid w:val="008E7834"/>
    <w:rsid w:val="008E7C78"/>
    <w:rsid w:val="008F03D3"/>
    <w:rsid w:val="008F0461"/>
    <w:rsid w:val="008F147D"/>
    <w:rsid w:val="008F14B1"/>
    <w:rsid w:val="008F1536"/>
    <w:rsid w:val="008F19C5"/>
    <w:rsid w:val="008F1D22"/>
    <w:rsid w:val="008F3481"/>
    <w:rsid w:val="008F4344"/>
    <w:rsid w:val="008F5E20"/>
    <w:rsid w:val="008F6122"/>
    <w:rsid w:val="008F72E0"/>
    <w:rsid w:val="0090000F"/>
    <w:rsid w:val="009002E3"/>
    <w:rsid w:val="00901324"/>
    <w:rsid w:val="00901ED3"/>
    <w:rsid w:val="00902785"/>
    <w:rsid w:val="00902809"/>
    <w:rsid w:val="00902A07"/>
    <w:rsid w:val="009039F0"/>
    <w:rsid w:val="00903C79"/>
    <w:rsid w:val="00904F4B"/>
    <w:rsid w:val="0090543B"/>
    <w:rsid w:val="0090605D"/>
    <w:rsid w:val="009063E7"/>
    <w:rsid w:val="00906DED"/>
    <w:rsid w:val="0091136F"/>
    <w:rsid w:val="00911FEF"/>
    <w:rsid w:val="00912DD5"/>
    <w:rsid w:val="00913FFB"/>
    <w:rsid w:val="009142C3"/>
    <w:rsid w:val="0091577E"/>
    <w:rsid w:val="00915C76"/>
    <w:rsid w:val="00915DA2"/>
    <w:rsid w:val="00915E37"/>
    <w:rsid w:val="00916BDA"/>
    <w:rsid w:val="0091701A"/>
    <w:rsid w:val="009176D8"/>
    <w:rsid w:val="00917D54"/>
    <w:rsid w:val="00920303"/>
    <w:rsid w:val="00920893"/>
    <w:rsid w:val="009213F8"/>
    <w:rsid w:val="009216B8"/>
    <w:rsid w:val="009228A5"/>
    <w:rsid w:val="00923339"/>
    <w:rsid w:val="00924182"/>
    <w:rsid w:val="00925EBF"/>
    <w:rsid w:val="00927CA1"/>
    <w:rsid w:val="00931B99"/>
    <w:rsid w:val="0093456A"/>
    <w:rsid w:val="009377C3"/>
    <w:rsid w:val="00937FC8"/>
    <w:rsid w:val="00940C11"/>
    <w:rsid w:val="009413D6"/>
    <w:rsid w:val="009416E9"/>
    <w:rsid w:val="00941942"/>
    <w:rsid w:val="00941E58"/>
    <w:rsid w:val="00947184"/>
    <w:rsid w:val="00947BC2"/>
    <w:rsid w:val="009500DD"/>
    <w:rsid w:val="0095099E"/>
    <w:rsid w:val="00952198"/>
    <w:rsid w:val="009531A6"/>
    <w:rsid w:val="00953F15"/>
    <w:rsid w:val="00954A27"/>
    <w:rsid w:val="00954EF5"/>
    <w:rsid w:val="00956870"/>
    <w:rsid w:val="00957CCE"/>
    <w:rsid w:val="00961151"/>
    <w:rsid w:val="009616E7"/>
    <w:rsid w:val="00961859"/>
    <w:rsid w:val="00961DF1"/>
    <w:rsid w:val="0096257D"/>
    <w:rsid w:val="00963442"/>
    <w:rsid w:val="00963911"/>
    <w:rsid w:val="00963EAD"/>
    <w:rsid w:val="009674A1"/>
    <w:rsid w:val="009674E2"/>
    <w:rsid w:val="00967794"/>
    <w:rsid w:val="00967997"/>
    <w:rsid w:val="00970750"/>
    <w:rsid w:val="00971275"/>
    <w:rsid w:val="009733F9"/>
    <w:rsid w:val="00973C00"/>
    <w:rsid w:val="0097530B"/>
    <w:rsid w:val="009765DD"/>
    <w:rsid w:val="0097666F"/>
    <w:rsid w:val="00976E91"/>
    <w:rsid w:val="00977513"/>
    <w:rsid w:val="00981F42"/>
    <w:rsid w:val="009829BF"/>
    <w:rsid w:val="009837B6"/>
    <w:rsid w:val="00984B84"/>
    <w:rsid w:val="009850BE"/>
    <w:rsid w:val="00985668"/>
    <w:rsid w:val="00986D55"/>
    <w:rsid w:val="009876C4"/>
    <w:rsid w:val="009877A6"/>
    <w:rsid w:val="00987BFD"/>
    <w:rsid w:val="00990820"/>
    <w:rsid w:val="0099118B"/>
    <w:rsid w:val="00991AE0"/>
    <w:rsid w:val="00992B13"/>
    <w:rsid w:val="009939F7"/>
    <w:rsid w:val="009945AA"/>
    <w:rsid w:val="00995310"/>
    <w:rsid w:val="00995B20"/>
    <w:rsid w:val="0099704C"/>
    <w:rsid w:val="0099755F"/>
    <w:rsid w:val="00997F1F"/>
    <w:rsid w:val="009A103E"/>
    <w:rsid w:val="009A15EF"/>
    <w:rsid w:val="009A1AC8"/>
    <w:rsid w:val="009A1D00"/>
    <w:rsid w:val="009A2BBD"/>
    <w:rsid w:val="009A3368"/>
    <w:rsid w:val="009A34D8"/>
    <w:rsid w:val="009A36AC"/>
    <w:rsid w:val="009A3BCE"/>
    <w:rsid w:val="009A5274"/>
    <w:rsid w:val="009A64BE"/>
    <w:rsid w:val="009A663F"/>
    <w:rsid w:val="009A74B1"/>
    <w:rsid w:val="009B060D"/>
    <w:rsid w:val="009B0BCA"/>
    <w:rsid w:val="009B150F"/>
    <w:rsid w:val="009B30CC"/>
    <w:rsid w:val="009B4016"/>
    <w:rsid w:val="009B5444"/>
    <w:rsid w:val="009B7523"/>
    <w:rsid w:val="009B7C37"/>
    <w:rsid w:val="009C0391"/>
    <w:rsid w:val="009C050D"/>
    <w:rsid w:val="009C2058"/>
    <w:rsid w:val="009C2BC7"/>
    <w:rsid w:val="009C3A86"/>
    <w:rsid w:val="009C4397"/>
    <w:rsid w:val="009C5536"/>
    <w:rsid w:val="009C7D17"/>
    <w:rsid w:val="009D109D"/>
    <w:rsid w:val="009D1873"/>
    <w:rsid w:val="009D2DA7"/>
    <w:rsid w:val="009D3489"/>
    <w:rsid w:val="009D35E9"/>
    <w:rsid w:val="009D4ACD"/>
    <w:rsid w:val="009D4F34"/>
    <w:rsid w:val="009D655D"/>
    <w:rsid w:val="009D6F4B"/>
    <w:rsid w:val="009E167A"/>
    <w:rsid w:val="009E2C32"/>
    <w:rsid w:val="009E38A4"/>
    <w:rsid w:val="009E3E62"/>
    <w:rsid w:val="009E3EB2"/>
    <w:rsid w:val="009E3F50"/>
    <w:rsid w:val="009E488D"/>
    <w:rsid w:val="009E4F38"/>
    <w:rsid w:val="009E6558"/>
    <w:rsid w:val="009E67E1"/>
    <w:rsid w:val="009E6FD6"/>
    <w:rsid w:val="009E7B88"/>
    <w:rsid w:val="009F0AA1"/>
    <w:rsid w:val="009F188D"/>
    <w:rsid w:val="009F3055"/>
    <w:rsid w:val="009F31E7"/>
    <w:rsid w:val="009F3A27"/>
    <w:rsid w:val="009F3B3A"/>
    <w:rsid w:val="009F4F75"/>
    <w:rsid w:val="009F6953"/>
    <w:rsid w:val="009F6F0D"/>
    <w:rsid w:val="009F7C9C"/>
    <w:rsid w:val="009F7CB3"/>
    <w:rsid w:val="00A00B92"/>
    <w:rsid w:val="00A0337C"/>
    <w:rsid w:val="00A0350A"/>
    <w:rsid w:val="00A041E0"/>
    <w:rsid w:val="00A0455E"/>
    <w:rsid w:val="00A052B2"/>
    <w:rsid w:val="00A06077"/>
    <w:rsid w:val="00A06623"/>
    <w:rsid w:val="00A06720"/>
    <w:rsid w:val="00A0741F"/>
    <w:rsid w:val="00A074B9"/>
    <w:rsid w:val="00A101BF"/>
    <w:rsid w:val="00A10445"/>
    <w:rsid w:val="00A120CE"/>
    <w:rsid w:val="00A134C1"/>
    <w:rsid w:val="00A15613"/>
    <w:rsid w:val="00A156D3"/>
    <w:rsid w:val="00A15F69"/>
    <w:rsid w:val="00A16417"/>
    <w:rsid w:val="00A16D82"/>
    <w:rsid w:val="00A17301"/>
    <w:rsid w:val="00A20513"/>
    <w:rsid w:val="00A25062"/>
    <w:rsid w:val="00A25D50"/>
    <w:rsid w:val="00A25DEE"/>
    <w:rsid w:val="00A27414"/>
    <w:rsid w:val="00A27542"/>
    <w:rsid w:val="00A312D8"/>
    <w:rsid w:val="00A31718"/>
    <w:rsid w:val="00A31AC6"/>
    <w:rsid w:val="00A32BCE"/>
    <w:rsid w:val="00A33421"/>
    <w:rsid w:val="00A337DC"/>
    <w:rsid w:val="00A33AD9"/>
    <w:rsid w:val="00A346A6"/>
    <w:rsid w:val="00A34AA7"/>
    <w:rsid w:val="00A34E94"/>
    <w:rsid w:val="00A3739E"/>
    <w:rsid w:val="00A401A7"/>
    <w:rsid w:val="00A404D4"/>
    <w:rsid w:val="00A41169"/>
    <w:rsid w:val="00A41B6C"/>
    <w:rsid w:val="00A4264F"/>
    <w:rsid w:val="00A43875"/>
    <w:rsid w:val="00A44CBD"/>
    <w:rsid w:val="00A45DCC"/>
    <w:rsid w:val="00A4645C"/>
    <w:rsid w:val="00A46FEE"/>
    <w:rsid w:val="00A474B5"/>
    <w:rsid w:val="00A47FE8"/>
    <w:rsid w:val="00A5034F"/>
    <w:rsid w:val="00A50A0A"/>
    <w:rsid w:val="00A5246B"/>
    <w:rsid w:val="00A53074"/>
    <w:rsid w:val="00A53E35"/>
    <w:rsid w:val="00A54633"/>
    <w:rsid w:val="00A54D9B"/>
    <w:rsid w:val="00A55332"/>
    <w:rsid w:val="00A558A6"/>
    <w:rsid w:val="00A56F48"/>
    <w:rsid w:val="00A60150"/>
    <w:rsid w:val="00A606D1"/>
    <w:rsid w:val="00A6072E"/>
    <w:rsid w:val="00A60762"/>
    <w:rsid w:val="00A612AB"/>
    <w:rsid w:val="00A615A1"/>
    <w:rsid w:val="00A61EFD"/>
    <w:rsid w:val="00A62907"/>
    <w:rsid w:val="00A62F89"/>
    <w:rsid w:val="00A634F0"/>
    <w:rsid w:val="00A638AF"/>
    <w:rsid w:val="00A63EF5"/>
    <w:rsid w:val="00A63FEF"/>
    <w:rsid w:val="00A64238"/>
    <w:rsid w:val="00A642BB"/>
    <w:rsid w:val="00A65947"/>
    <w:rsid w:val="00A6661F"/>
    <w:rsid w:val="00A67369"/>
    <w:rsid w:val="00A6752C"/>
    <w:rsid w:val="00A70BC7"/>
    <w:rsid w:val="00A7121B"/>
    <w:rsid w:val="00A715DE"/>
    <w:rsid w:val="00A7217B"/>
    <w:rsid w:val="00A7222D"/>
    <w:rsid w:val="00A74A71"/>
    <w:rsid w:val="00A752A8"/>
    <w:rsid w:val="00A7573A"/>
    <w:rsid w:val="00A7651C"/>
    <w:rsid w:val="00A814D8"/>
    <w:rsid w:val="00A81C48"/>
    <w:rsid w:val="00A82489"/>
    <w:rsid w:val="00A82719"/>
    <w:rsid w:val="00A82B0F"/>
    <w:rsid w:val="00A8306C"/>
    <w:rsid w:val="00A8424C"/>
    <w:rsid w:val="00A84B03"/>
    <w:rsid w:val="00A85072"/>
    <w:rsid w:val="00A85269"/>
    <w:rsid w:val="00A86C0B"/>
    <w:rsid w:val="00A87400"/>
    <w:rsid w:val="00A87490"/>
    <w:rsid w:val="00A93565"/>
    <w:rsid w:val="00A93B47"/>
    <w:rsid w:val="00A946D7"/>
    <w:rsid w:val="00A94EF4"/>
    <w:rsid w:val="00A955D1"/>
    <w:rsid w:val="00A9607A"/>
    <w:rsid w:val="00A96774"/>
    <w:rsid w:val="00A9696F"/>
    <w:rsid w:val="00A97B95"/>
    <w:rsid w:val="00AA07FC"/>
    <w:rsid w:val="00AA0A1E"/>
    <w:rsid w:val="00AA11C0"/>
    <w:rsid w:val="00AA1BF9"/>
    <w:rsid w:val="00AA3CB4"/>
    <w:rsid w:val="00AA41E9"/>
    <w:rsid w:val="00AA4D47"/>
    <w:rsid w:val="00AA6177"/>
    <w:rsid w:val="00AA647C"/>
    <w:rsid w:val="00AA72C3"/>
    <w:rsid w:val="00AA7409"/>
    <w:rsid w:val="00AB1163"/>
    <w:rsid w:val="00AB141E"/>
    <w:rsid w:val="00AB2B7C"/>
    <w:rsid w:val="00AB3447"/>
    <w:rsid w:val="00AB3AF8"/>
    <w:rsid w:val="00AB407B"/>
    <w:rsid w:val="00AB56DC"/>
    <w:rsid w:val="00AB5AE1"/>
    <w:rsid w:val="00AB5AF4"/>
    <w:rsid w:val="00AB605E"/>
    <w:rsid w:val="00AB7C11"/>
    <w:rsid w:val="00AC13AD"/>
    <w:rsid w:val="00AC2C5D"/>
    <w:rsid w:val="00AC4A45"/>
    <w:rsid w:val="00AC4E49"/>
    <w:rsid w:val="00AC515C"/>
    <w:rsid w:val="00AC5409"/>
    <w:rsid w:val="00AC6494"/>
    <w:rsid w:val="00AC6535"/>
    <w:rsid w:val="00AC657E"/>
    <w:rsid w:val="00AC7733"/>
    <w:rsid w:val="00AD0409"/>
    <w:rsid w:val="00AD27B4"/>
    <w:rsid w:val="00AD2C19"/>
    <w:rsid w:val="00AD59FA"/>
    <w:rsid w:val="00AD5F15"/>
    <w:rsid w:val="00AD5F75"/>
    <w:rsid w:val="00AD6BA4"/>
    <w:rsid w:val="00AD6E1F"/>
    <w:rsid w:val="00AD793A"/>
    <w:rsid w:val="00AD7D86"/>
    <w:rsid w:val="00AD7E23"/>
    <w:rsid w:val="00AE02BD"/>
    <w:rsid w:val="00AE02FC"/>
    <w:rsid w:val="00AE0721"/>
    <w:rsid w:val="00AE0E0E"/>
    <w:rsid w:val="00AE0FBD"/>
    <w:rsid w:val="00AE15B9"/>
    <w:rsid w:val="00AE28E6"/>
    <w:rsid w:val="00AE3ADC"/>
    <w:rsid w:val="00AE6138"/>
    <w:rsid w:val="00AE7E35"/>
    <w:rsid w:val="00AF3044"/>
    <w:rsid w:val="00AF343F"/>
    <w:rsid w:val="00AF35AB"/>
    <w:rsid w:val="00AF3738"/>
    <w:rsid w:val="00AF3845"/>
    <w:rsid w:val="00AF5B74"/>
    <w:rsid w:val="00AF673E"/>
    <w:rsid w:val="00AF7AE0"/>
    <w:rsid w:val="00B00AEF"/>
    <w:rsid w:val="00B019C8"/>
    <w:rsid w:val="00B01CFB"/>
    <w:rsid w:val="00B023A8"/>
    <w:rsid w:val="00B029BA"/>
    <w:rsid w:val="00B031CE"/>
    <w:rsid w:val="00B03205"/>
    <w:rsid w:val="00B0325A"/>
    <w:rsid w:val="00B0385F"/>
    <w:rsid w:val="00B03D8C"/>
    <w:rsid w:val="00B04C59"/>
    <w:rsid w:val="00B04ED0"/>
    <w:rsid w:val="00B05512"/>
    <w:rsid w:val="00B05FEB"/>
    <w:rsid w:val="00B07671"/>
    <w:rsid w:val="00B079C0"/>
    <w:rsid w:val="00B105FF"/>
    <w:rsid w:val="00B1129B"/>
    <w:rsid w:val="00B11545"/>
    <w:rsid w:val="00B1241F"/>
    <w:rsid w:val="00B12CCF"/>
    <w:rsid w:val="00B131E3"/>
    <w:rsid w:val="00B142E1"/>
    <w:rsid w:val="00B16597"/>
    <w:rsid w:val="00B1683A"/>
    <w:rsid w:val="00B17830"/>
    <w:rsid w:val="00B201AD"/>
    <w:rsid w:val="00B2230C"/>
    <w:rsid w:val="00B22C72"/>
    <w:rsid w:val="00B234D2"/>
    <w:rsid w:val="00B2496B"/>
    <w:rsid w:val="00B25CFD"/>
    <w:rsid w:val="00B26778"/>
    <w:rsid w:val="00B268AC"/>
    <w:rsid w:val="00B26F73"/>
    <w:rsid w:val="00B271AA"/>
    <w:rsid w:val="00B277A9"/>
    <w:rsid w:val="00B30329"/>
    <w:rsid w:val="00B30720"/>
    <w:rsid w:val="00B30BC8"/>
    <w:rsid w:val="00B31969"/>
    <w:rsid w:val="00B32540"/>
    <w:rsid w:val="00B33204"/>
    <w:rsid w:val="00B33EC5"/>
    <w:rsid w:val="00B342EA"/>
    <w:rsid w:val="00B344FC"/>
    <w:rsid w:val="00B35D47"/>
    <w:rsid w:val="00B3607B"/>
    <w:rsid w:val="00B37F3C"/>
    <w:rsid w:val="00B402C9"/>
    <w:rsid w:val="00B409F0"/>
    <w:rsid w:val="00B416D5"/>
    <w:rsid w:val="00B46E61"/>
    <w:rsid w:val="00B472C1"/>
    <w:rsid w:val="00B4799C"/>
    <w:rsid w:val="00B47EFB"/>
    <w:rsid w:val="00B50C1B"/>
    <w:rsid w:val="00B51EE0"/>
    <w:rsid w:val="00B52047"/>
    <w:rsid w:val="00B538DB"/>
    <w:rsid w:val="00B55620"/>
    <w:rsid w:val="00B56697"/>
    <w:rsid w:val="00B6032D"/>
    <w:rsid w:val="00B613CF"/>
    <w:rsid w:val="00B62945"/>
    <w:rsid w:val="00B63757"/>
    <w:rsid w:val="00B63ECF"/>
    <w:rsid w:val="00B659A4"/>
    <w:rsid w:val="00B65D11"/>
    <w:rsid w:val="00B65EAF"/>
    <w:rsid w:val="00B663BD"/>
    <w:rsid w:val="00B66574"/>
    <w:rsid w:val="00B66B79"/>
    <w:rsid w:val="00B6702C"/>
    <w:rsid w:val="00B703FE"/>
    <w:rsid w:val="00B7186E"/>
    <w:rsid w:val="00B72097"/>
    <w:rsid w:val="00B7265B"/>
    <w:rsid w:val="00B72970"/>
    <w:rsid w:val="00B744FB"/>
    <w:rsid w:val="00B7599C"/>
    <w:rsid w:val="00B76489"/>
    <w:rsid w:val="00B801B1"/>
    <w:rsid w:val="00B80202"/>
    <w:rsid w:val="00B81EC3"/>
    <w:rsid w:val="00B81EFD"/>
    <w:rsid w:val="00B82060"/>
    <w:rsid w:val="00B8643F"/>
    <w:rsid w:val="00B867BA"/>
    <w:rsid w:val="00B90409"/>
    <w:rsid w:val="00B90765"/>
    <w:rsid w:val="00B90B4D"/>
    <w:rsid w:val="00B921FA"/>
    <w:rsid w:val="00B924C3"/>
    <w:rsid w:val="00B93222"/>
    <w:rsid w:val="00B9349C"/>
    <w:rsid w:val="00B940D5"/>
    <w:rsid w:val="00B94154"/>
    <w:rsid w:val="00B945DF"/>
    <w:rsid w:val="00B95213"/>
    <w:rsid w:val="00B95EA8"/>
    <w:rsid w:val="00B96431"/>
    <w:rsid w:val="00B96B4E"/>
    <w:rsid w:val="00B96DA8"/>
    <w:rsid w:val="00B96E6E"/>
    <w:rsid w:val="00B973DF"/>
    <w:rsid w:val="00B97A45"/>
    <w:rsid w:val="00BA146A"/>
    <w:rsid w:val="00BA283D"/>
    <w:rsid w:val="00BA3655"/>
    <w:rsid w:val="00BA6363"/>
    <w:rsid w:val="00BA68DF"/>
    <w:rsid w:val="00BA7185"/>
    <w:rsid w:val="00BB08B8"/>
    <w:rsid w:val="00BB0E43"/>
    <w:rsid w:val="00BB1A78"/>
    <w:rsid w:val="00BB36D9"/>
    <w:rsid w:val="00BB375C"/>
    <w:rsid w:val="00BB39F8"/>
    <w:rsid w:val="00BB55C3"/>
    <w:rsid w:val="00BB72CF"/>
    <w:rsid w:val="00BB79B9"/>
    <w:rsid w:val="00BB7CD7"/>
    <w:rsid w:val="00BC0045"/>
    <w:rsid w:val="00BC0493"/>
    <w:rsid w:val="00BC0F35"/>
    <w:rsid w:val="00BC1D45"/>
    <w:rsid w:val="00BC21FE"/>
    <w:rsid w:val="00BC26CA"/>
    <w:rsid w:val="00BC39C0"/>
    <w:rsid w:val="00BC40AE"/>
    <w:rsid w:val="00BC48CC"/>
    <w:rsid w:val="00BC55C6"/>
    <w:rsid w:val="00BC600F"/>
    <w:rsid w:val="00BC6108"/>
    <w:rsid w:val="00BD048C"/>
    <w:rsid w:val="00BD04FF"/>
    <w:rsid w:val="00BD0B35"/>
    <w:rsid w:val="00BD0B48"/>
    <w:rsid w:val="00BD12DD"/>
    <w:rsid w:val="00BD1BE0"/>
    <w:rsid w:val="00BD4AC5"/>
    <w:rsid w:val="00BD5B47"/>
    <w:rsid w:val="00BD62ED"/>
    <w:rsid w:val="00BD6B8E"/>
    <w:rsid w:val="00BE2284"/>
    <w:rsid w:val="00BE373E"/>
    <w:rsid w:val="00BE4078"/>
    <w:rsid w:val="00BE4373"/>
    <w:rsid w:val="00BE482E"/>
    <w:rsid w:val="00BE6C42"/>
    <w:rsid w:val="00BF1259"/>
    <w:rsid w:val="00BF450B"/>
    <w:rsid w:val="00BF506A"/>
    <w:rsid w:val="00BF6599"/>
    <w:rsid w:val="00BF7692"/>
    <w:rsid w:val="00BF7909"/>
    <w:rsid w:val="00BF798D"/>
    <w:rsid w:val="00C00E15"/>
    <w:rsid w:val="00C00EC4"/>
    <w:rsid w:val="00C014DC"/>
    <w:rsid w:val="00C01F4C"/>
    <w:rsid w:val="00C028DD"/>
    <w:rsid w:val="00C02F61"/>
    <w:rsid w:val="00C033C1"/>
    <w:rsid w:val="00C037AB"/>
    <w:rsid w:val="00C053DA"/>
    <w:rsid w:val="00C05481"/>
    <w:rsid w:val="00C077B1"/>
    <w:rsid w:val="00C10A13"/>
    <w:rsid w:val="00C10D57"/>
    <w:rsid w:val="00C10EA7"/>
    <w:rsid w:val="00C110FD"/>
    <w:rsid w:val="00C114CD"/>
    <w:rsid w:val="00C1198A"/>
    <w:rsid w:val="00C11AB0"/>
    <w:rsid w:val="00C123E3"/>
    <w:rsid w:val="00C13339"/>
    <w:rsid w:val="00C13607"/>
    <w:rsid w:val="00C15D65"/>
    <w:rsid w:val="00C16493"/>
    <w:rsid w:val="00C17EE3"/>
    <w:rsid w:val="00C17F8B"/>
    <w:rsid w:val="00C20401"/>
    <w:rsid w:val="00C21D7B"/>
    <w:rsid w:val="00C22C58"/>
    <w:rsid w:val="00C23A59"/>
    <w:rsid w:val="00C255CB"/>
    <w:rsid w:val="00C25602"/>
    <w:rsid w:val="00C2653A"/>
    <w:rsid w:val="00C271BB"/>
    <w:rsid w:val="00C27DC3"/>
    <w:rsid w:val="00C300E1"/>
    <w:rsid w:val="00C3053E"/>
    <w:rsid w:val="00C31857"/>
    <w:rsid w:val="00C32A4C"/>
    <w:rsid w:val="00C348BE"/>
    <w:rsid w:val="00C34F62"/>
    <w:rsid w:val="00C361D3"/>
    <w:rsid w:val="00C36B8A"/>
    <w:rsid w:val="00C36DA4"/>
    <w:rsid w:val="00C37538"/>
    <w:rsid w:val="00C376A8"/>
    <w:rsid w:val="00C40B04"/>
    <w:rsid w:val="00C42A54"/>
    <w:rsid w:val="00C4348C"/>
    <w:rsid w:val="00C4565C"/>
    <w:rsid w:val="00C46A6F"/>
    <w:rsid w:val="00C47F50"/>
    <w:rsid w:val="00C5073D"/>
    <w:rsid w:val="00C5081D"/>
    <w:rsid w:val="00C51150"/>
    <w:rsid w:val="00C513F1"/>
    <w:rsid w:val="00C52F68"/>
    <w:rsid w:val="00C537C8"/>
    <w:rsid w:val="00C538C8"/>
    <w:rsid w:val="00C542FB"/>
    <w:rsid w:val="00C54939"/>
    <w:rsid w:val="00C54DF9"/>
    <w:rsid w:val="00C5534A"/>
    <w:rsid w:val="00C558ED"/>
    <w:rsid w:val="00C567AA"/>
    <w:rsid w:val="00C568ED"/>
    <w:rsid w:val="00C56DF4"/>
    <w:rsid w:val="00C577CF"/>
    <w:rsid w:val="00C61C30"/>
    <w:rsid w:val="00C61C73"/>
    <w:rsid w:val="00C6296B"/>
    <w:rsid w:val="00C6429A"/>
    <w:rsid w:val="00C655C7"/>
    <w:rsid w:val="00C65D3C"/>
    <w:rsid w:val="00C65D74"/>
    <w:rsid w:val="00C66969"/>
    <w:rsid w:val="00C66C3E"/>
    <w:rsid w:val="00C66D6F"/>
    <w:rsid w:val="00C67CFE"/>
    <w:rsid w:val="00C67F1B"/>
    <w:rsid w:val="00C70F4C"/>
    <w:rsid w:val="00C724D6"/>
    <w:rsid w:val="00C7267B"/>
    <w:rsid w:val="00C7313F"/>
    <w:rsid w:val="00C737A7"/>
    <w:rsid w:val="00C75FFC"/>
    <w:rsid w:val="00C77FF8"/>
    <w:rsid w:val="00C82466"/>
    <w:rsid w:val="00C826B8"/>
    <w:rsid w:val="00C82D4D"/>
    <w:rsid w:val="00C83B3D"/>
    <w:rsid w:val="00C84D3D"/>
    <w:rsid w:val="00C85800"/>
    <w:rsid w:val="00C86F85"/>
    <w:rsid w:val="00C90293"/>
    <w:rsid w:val="00C90D73"/>
    <w:rsid w:val="00C91598"/>
    <w:rsid w:val="00C91C8E"/>
    <w:rsid w:val="00C925EB"/>
    <w:rsid w:val="00C94494"/>
    <w:rsid w:val="00C95974"/>
    <w:rsid w:val="00C95E8E"/>
    <w:rsid w:val="00C973E4"/>
    <w:rsid w:val="00C974A7"/>
    <w:rsid w:val="00C97815"/>
    <w:rsid w:val="00CA070C"/>
    <w:rsid w:val="00CA17CD"/>
    <w:rsid w:val="00CA1DE7"/>
    <w:rsid w:val="00CA28E1"/>
    <w:rsid w:val="00CA3153"/>
    <w:rsid w:val="00CA466A"/>
    <w:rsid w:val="00CA46FA"/>
    <w:rsid w:val="00CA47AF"/>
    <w:rsid w:val="00CA4FAC"/>
    <w:rsid w:val="00CB0675"/>
    <w:rsid w:val="00CB0F2E"/>
    <w:rsid w:val="00CB1C74"/>
    <w:rsid w:val="00CB281A"/>
    <w:rsid w:val="00CB4802"/>
    <w:rsid w:val="00CB5521"/>
    <w:rsid w:val="00CB6DD3"/>
    <w:rsid w:val="00CB70B0"/>
    <w:rsid w:val="00CB70D7"/>
    <w:rsid w:val="00CB7437"/>
    <w:rsid w:val="00CC0280"/>
    <w:rsid w:val="00CC02E7"/>
    <w:rsid w:val="00CC4853"/>
    <w:rsid w:val="00CC48EB"/>
    <w:rsid w:val="00CC5BE4"/>
    <w:rsid w:val="00CC7644"/>
    <w:rsid w:val="00CD127F"/>
    <w:rsid w:val="00CD2AE3"/>
    <w:rsid w:val="00CD3201"/>
    <w:rsid w:val="00CD3F8F"/>
    <w:rsid w:val="00CD4771"/>
    <w:rsid w:val="00CD4C9A"/>
    <w:rsid w:val="00CD6802"/>
    <w:rsid w:val="00CD6927"/>
    <w:rsid w:val="00CD6B4C"/>
    <w:rsid w:val="00CD7C49"/>
    <w:rsid w:val="00CE17CB"/>
    <w:rsid w:val="00CE191E"/>
    <w:rsid w:val="00CE1CBD"/>
    <w:rsid w:val="00CE3375"/>
    <w:rsid w:val="00CE3F70"/>
    <w:rsid w:val="00CE4D80"/>
    <w:rsid w:val="00CE591A"/>
    <w:rsid w:val="00CE60DF"/>
    <w:rsid w:val="00CE674C"/>
    <w:rsid w:val="00CE6D67"/>
    <w:rsid w:val="00CE78E7"/>
    <w:rsid w:val="00CE7B33"/>
    <w:rsid w:val="00CE7D4A"/>
    <w:rsid w:val="00CF006E"/>
    <w:rsid w:val="00CF01C1"/>
    <w:rsid w:val="00CF06EC"/>
    <w:rsid w:val="00CF2694"/>
    <w:rsid w:val="00CF4319"/>
    <w:rsid w:val="00CF5DF2"/>
    <w:rsid w:val="00D00017"/>
    <w:rsid w:val="00D01A98"/>
    <w:rsid w:val="00D01DCD"/>
    <w:rsid w:val="00D03DF5"/>
    <w:rsid w:val="00D04B8B"/>
    <w:rsid w:val="00D05189"/>
    <w:rsid w:val="00D0551E"/>
    <w:rsid w:val="00D11169"/>
    <w:rsid w:val="00D11BC4"/>
    <w:rsid w:val="00D11EBD"/>
    <w:rsid w:val="00D125C2"/>
    <w:rsid w:val="00D129CD"/>
    <w:rsid w:val="00D13F9D"/>
    <w:rsid w:val="00D14200"/>
    <w:rsid w:val="00D1450E"/>
    <w:rsid w:val="00D14F25"/>
    <w:rsid w:val="00D15255"/>
    <w:rsid w:val="00D15889"/>
    <w:rsid w:val="00D16048"/>
    <w:rsid w:val="00D160CF"/>
    <w:rsid w:val="00D20653"/>
    <w:rsid w:val="00D22186"/>
    <w:rsid w:val="00D23695"/>
    <w:rsid w:val="00D23989"/>
    <w:rsid w:val="00D23A7B"/>
    <w:rsid w:val="00D246F2"/>
    <w:rsid w:val="00D24732"/>
    <w:rsid w:val="00D25206"/>
    <w:rsid w:val="00D257BE"/>
    <w:rsid w:val="00D262EA"/>
    <w:rsid w:val="00D265F6"/>
    <w:rsid w:val="00D26E24"/>
    <w:rsid w:val="00D27510"/>
    <w:rsid w:val="00D30288"/>
    <w:rsid w:val="00D3030E"/>
    <w:rsid w:val="00D31386"/>
    <w:rsid w:val="00D3177A"/>
    <w:rsid w:val="00D31826"/>
    <w:rsid w:val="00D319C8"/>
    <w:rsid w:val="00D31D6F"/>
    <w:rsid w:val="00D31F0F"/>
    <w:rsid w:val="00D32D0B"/>
    <w:rsid w:val="00D330CD"/>
    <w:rsid w:val="00D344B9"/>
    <w:rsid w:val="00D34C9F"/>
    <w:rsid w:val="00D356FA"/>
    <w:rsid w:val="00D358BF"/>
    <w:rsid w:val="00D35BF5"/>
    <w:rsid w:val="00D35E9D"/>
    <w:rsid w:val="00D367C9"/>
    <w:rsid w:val="00D371CE"/>
    <w:rsid w:val="00D3772D"/>
    <w:rsid w:val="00D37935"/>
    <w:rsid w:val="00D37A18"/>
    <w:rsid w:val="00D37CC1"/>
    <w:rsid w:val="00D40C01"/>
    <w:rsid w:val="00D41611"/>
    <w:rsid w:val="00D417C4"/>
    <w:rsid w:val="00D41866"/>
    <w:rsid w:val="00D440B4"/>
    <w:rsid w:val="00D441E7"/>
    <w:rsid w:val="00D44E47"/>
    <w:rsid w:val="00D4546C"/>
    <w:rsid w:val="00D454DE"/>
    <w:rsid w:val="00D45D8D"/>
    <w:rsid w:val="00D4652F"/>
    <w:rsid w:val="00D4743C"/>
    <w:rsid w:val="00D51237"/>
    <w:rsid w:val="00D5350E"/>
    <w:rsid w:val="00D54E10"/>
    <w:rsid w:val="00D56901"/>
    <w:rsid w:val="00D575A0"/>
    <w:rsid w:val="00D57A64"/>
    <w:rsid w:val="00D611E2"/>
    <w:rsid w:val="00D617FD"/>
    <w:rsid w:val="00D62675"/>
    <w:rsid w:val="00D63F3C"/>
    <w:rsid w:val="00D65533"/>
    <w:rsid w:val="00D660F6"/>
    <w:rsid w:val="00D6673F"/>
    <w:rsid w:val="00D67E94"/>
    <w:rsid w:val="00D71F81"/>
    <w:rsid w:val="00D7293F"/>
    <w:rsid w:val="00D736AB"/>
    <w:rsid w:val="00D74CF0"/>
    <w:rsid w:val="00D75E98"/>
    <w:rsid w:val="00D760F1"/>
    <w:rsid w:val="00D767DF"/>
    <w:rsid w:val="00D807DA"/>
    <w:rsid w:val="00D808E5"/>
    <w:rsid w:val="00D811D6"/>
    <w:rsid w:val="00D81921"/>
    <w:rsid w:val="00D82279"/>
    <w:rsid w:val="00D82AF3"/>
    <w:rsid w:val="00D83B3B"/>
    <w:rsid w:val="00D83F34"/>
    <w:rsid w:val="00D84A8E"/>
    <w:rsid w:val="00D84DF2"/>
    <w:rsid w:val="00D8518E"/>
    <w:rsid w:val="00D85F0C"/>
    <w:rsid w:val="00D8746C"/>
    <w:rsid w:val="00D87695"/>
    <w:rsid w:val="00D8798D"/>
    <w:rsid w:val="00D87F75"/>
    <w:rsid w:val="00D90155"/>
    <w:rsid w:val="00D90A55"/>
    <w:rsid w:val="00D90F19"/>
    <w:rsid w:val="00D91376"/>
    <w:rsid w:val="00D91791"/>
    <w:rsid w:val="00D9276A"/>
    <w:rsid w:val="00D9375D"/>
    <w:rsid w:val="00D941F4"/>
    <w:rsid w:val="00D9548E"/>
    <w:rsid w:val="00D95CB6"/>
    <w:rsid w:val="00D97A1D"/>
    <w:rsid w:val="00DA0005"/>
    <w:rsid w:val="00DA04FD"/>
    <w:rsid w:val="00DA0D74"/>
    <w:rsid w:val="00DA15DE"/>
    <w:rsid w:val="00DA1872"/>
    <w:rsid w:val="00DA1E90"/>
    <w:rsid w:val="00DA479F"/>
    <w:rsid w:val="00DA491A"/>
    <w:rsid w:val="00DA5AEC"/>
    <w:rsid w:val="00DA6011"/>
    <w:rsid w:val="00DB00A5"/>
    <w:rsid w:val="00DB0943"/>
    <w:rsid w:val="00DB22E3"/>
    <w:rsid w:val="00DB25FF"/>
    <w:rsid w:val="00DB35C5"/>
    <w:rsid w:val="00DB47EC"/>
    <w:rsid w:val="00DB5C04"/>
    <w:rsid w:val="00DC071E"/>
    <w:rsid w:val="00DC088F"/>
    <w:rsid w:val="00DC4924"/>
    <w:rsid w:val="00DC493A"/>
    <w:rsid w:val="00DC4B2B"/>
    <w:rsid w:val="00DC5F0A"/>
    <w:rsid w:val="00DC63D4"/>
    <w:rsid w:val="00DC6EB4"/>
    <w:rsid w:val="00DC6F53"/>
    <w:rsid w:val="00DD08A6"/>
    <w:rsid w:val="00DD0E5A"/>
    <w:rsid w:val="00DD2C4B"/>
    <w:rsid w:val="00DD3E5E"/>
    <w:rsid w:val="00DD4B0D"/>
    <w:rsid w:val="00DD5527"/>
    <w:rsid w:val="00DD56B3"/>
    <w:rsid w:val="00DD61EE"/>
    <w:rsid w:val="00DD6713"/>
    <w:rsid w:val="00DD708B"/>
    <w:rsid w:val="00DD72CD"/>
    <w:rsid w:val="00DE01EE"/>
    <w:rsid w:val="00DE1190"/>
    <w:rsid w:val="00DE25C8"/>
    <w:rsid w:val="00DE32D2"/>
    <w:rsid w:val="00DE34E3"/>
    <w:rsid w:val="00DE3556"/>
    <w:rsid w:val="00DE6433"/>
    <w:rsid w:val="00DE6729"/>
    <w:rsid w:val="00DE6CCE"/>
    <w:rsid w:val="00DE7425"/>
    <w:rsid w:val="00DE7A5C"/>
    <w:rsid w:val="00DF0D33"/>
    <w:rsid w:val="00DF3470"/>
    <w:rsid w:val="00DF40E8"/>
    <w:rsid w:val="00DF5237"/>
    <w:rsid w:val="00DF6424"/>
    <w:rsid w:val="00DF7304"/>
    <w:rsid w:val="00DF79AB"/>
    <w:rsid w:val="00DF7B4A"/>
    <w:rsid w:val="00E00178"/>
    <w:rsid w:val="00E00A58"/>
    <w:rsid w:val="00E00A89"/>
    <w:rsid w:val="00E01DAF"/>
    <w:rsid w:val="00E02C38"/>
    <w:rsid w:val="00E03EDB"/>
    <w:rsid w:val="00E04448"/>
    <w:rsid w:val="00E04639"/>
    <w:rsid w:val="00E0517F"/>
    <w:rsid w:val="00E0523E"/>
    <w:rsid w:val="00E05302"/>
    <w:rsid w:val="00E05CF4"/>
    <w:rsid w:val="00E070B5"/>
    <w:rsid w:val="00E0787C"/>
    <w:rsid w:val="00E07A97"/>
    <w:rsid w:val="00E07E71"/>
    <w:rsid w:val="00E10B56"/>
    <w:rsid w:val="00E116E1"/>
    <w:rsid w:val="00E12EA0"/>
    <w:rsid w:val="00E144D5"/>
    <w:rsid w:val="00E15895"/>
    <w:rsid w:val="00E15998"/>
    <w:rsid w:val="00E15ED5"/>
    <w:rsid w:val="00E17728"/>
    <w:rsid w:val="00E20B47"/>
    <w:rsid w:val="00E23A5C"/>
    <w:rsid w:val="00E23F16"/>
    <w:rsid w:val="00E24B5B"/>
    <w:rsid w:val="00E26164"/>
    <w:rsid w:val="00E3051C"/>
    <w:rsid w:val="00E30696"/>
    <w:rsid w:val="00E31FA5"/>
    <w:rsid w:val="00E321AE"/>
    <w:rsid w:val="00E32588"/>
    <w:rsid w:val="00E3272E"/>
    <w:rsid w:val="00E32998"/>
    <w:rsid w:val="00E332B4"/>
    <w:rsid w:val="00E3334C"/>
    <w:rsid w:val="00E3349B"/>
    <w:rsid w:val="00E355DF"/>
    <w:rsid w:val="00E35C87"/>
    <w:rsid w:val="00E36F5B"/>
    <w:rsid w:val="00E370E2"/>
    <w:rsid w:val="00E37BE4"/>
    <w:rsid w:val="00E408A7"/>
    <w:rsid w:val="00E42580"/>
    <w:rsid w:val="00E42EB4"/>
    <w:rsid w:val="00E433D4"/>
    <w:rsid w:val="00E438C3"/>
    <w:rsid w:val="00E443F7"/>
    <w:rsid w:val="00E44A37"/>
    <w:rsid w:val="00E45943"/>
    <w:rsid w:val="00E459B3"/>
    <w:rsid w:val="00E45AE2"/>
    <w:rsid w:val="00E4668E"/>
    <w:rsid w:val="00E46749"/>
    <w:rsid w:val="00E469EB"/>
    <w:rsid w:val="00E47750"/>
    <w:rsid w:val="00E500F9"/>
    <w:rsid w:val="00E51E2D"/>
    <w:rsid w:val="00E53193"/>
    <w:rsid w:val="00E53DFD"/>
    <w:rsid w:val="00E557E8"/>
    <w:rsid w:val="00E568E9"/>
    <w:rsid w:val="00E56D72"/>
    <w:rsid w:val="00E57C0C"/>
    <w:rsid w:val="00E602A0"/>
    <w:rsid w:val="00E6098D"/>
    <w:rsid w:val="00E60ABD"/>
    <w:rsid w:val="00E616ED"/>
    <w:rsid w:val="00E62C16"/>
    <w:rsid w:val="00E62F0E"/>
    <w:rsid w:val="00E65D29"/>
    <w:rsid w:val="00E6603E"/>
    <w:rsid w:val="00E6685F"/>
    <w:rsid w:val="00E67605"/>
    <w:rsid w:val="00E70DEF"/>
    <w:rsid w:val="00E72C8D"/>
    <w:rsid w:val="00E73103"/>
    <w:rsid w:val="00E73481"/>
    <w:rsid w:val="00E74EA3"/>
    <w:rsid w:val="00E76F6A"/>
    <w:rsid w:val="00E77091"/>
    <w:rsid w:val="00E8050A"/>
    <w:rsid w:val="00E8076F"/>
    <w:rsid w:val="00E812F2"/>
    <w:rsid w:val="00E81BEA"/>
    <w:rsid w:val="00E83A69"/>
    <w:rsid w:val="00E84381"/>
    <w:rsid w:val="00E848A4"/>
    <w:rsid w:val="00E868A0"/>
    <w:rsid w:val="00E86F45"/>
    <w:rsid w:val="00E8773B"/>
    <w:rsid w:val="00E87C6D"/>
    <w:rsid w:val="00E901E9"/>
    <w:rsid w:val="00E91467"/>
    <w:rsid w:val="00E92570"/>
    <w:rsid w:val="00E927D3"/>
    <w:rsid w:val="00E93CDC"/>
    <w:rsid w:val="00E93EAD"/>
    <w:rsid w:val="00E9465D"/>
    <w:rsid w:val="00E94F6A"/>
    <w:rsid w:val="00E9529E"/>
    <w:rsid w:val="00E95C44"/>
    <w:rsid w:val="00E95D07"/>
    <w:rsid w:val="00E96317"/>
    <w:rsid w:val="00E963C6"/>
    <w:rsid w:val="00E968EC"/>
    <w:rsid w:val="00E96D50"/>
    <w:rsid w:val="00EA035C"/>
    <w:rsid w:val="00EA0A2C"/>
    <w:rsid w:val="00EA206F"/>
    <w:rsid w:val="00EA2347"/>
    <w:rsid w:val="00EA2379"/>
    <w:rsid w:val="00EA483A"/>
    <w:rsid w:val="00EA51C7"/>
    <w:rsid w:val="00EA5A5B"/>
    <w:rsid w:val="00EB020A"/>
    <w:rsid w:val="00EB0493"/>
    <w:rsid w:val="00EB0D67"/>
    <w:rsid w:val="00EB1740"/>
    <w:rsid w:val="00EB25AC"/>
    <w:rsid w:val="00EB34EA"/>
    <w:rsid w:val="00EB41B9"/>
    <w:rsid w:val="00EB4336"/>
    <w:rsid w:val="00EB4EFB"/>
    <w:rsid w:val="00EB5E53"/>
    <w:rsid w:val="00EB7185"/>
    <w:rsid w:val="00EB73E3"/>
    <w:rsid w:val="00EB75A8"/>
    <w:rsid w:val="00EC0E36"/>
    <w:rsid w:val="00EC135A"/>
    <w:rsid w:val="00EC1506"/>
    <w:rsid w:val="00EC19E1"/>
    <w:rsid w:val="00EC20EC"/>
    <w:rsid w:val="00EC2385"/>
    <w:rsid w:val="00EC4BEA"/>
    <w:rsid w:val="00EC50C1"/>
    <w:rsid w:val="00EC5B80"/>
    <w:rsid w:val="00EC72ED"/>
    <w:rsid w:val="00EC775E"/>
    <w:rsid w:val="00ED1DB1"/>
    <w:rsid w:val="00ED233B"/>
    <w:rsid w:val="00ED2571"/>
    <w:rsid w:val="00ED277D"/>
    <w:rsid w:val="00ED309E"/>
    <w:rsid w:val="00ED52DB"/>
    <w:rsid w:val="00ED59CA"/>
    <w:rsid w:val="00ED6163"/>
    <w:rsid w:val="00ED624E"/>
    <w:rsid w:val="00ED7CDF"/>
    <w:rsid w:val="00EE0150"/>
    <w:rsid w:val="00EE01A3"/>
    <w:rsid w:val="00EE0A6D"/>
    <w:rsid w:val="00EE2526"/>
    <w:rsid w:val="00EE2816"/>
    <w:rsid w:val="00EE29F1"/>
    <w:rsid w:val="00EE5761"/>
    <w:rsid w:val="00EE785F"/>
    <w:rsid w:val="00EF0081"/>
    <w:rsid w:val="00EF0217"/>
    <w:rsid w:val="00EF1576"/>
    <w:rsid w:val="00EF2429"/>
    <w:rsid w:val="00EF476D"/>
    <w:rsid w:val="00EF4954"/>
    <w:rsid w:val="00EF574F"/>
    <w:rsid w:val="00EF65AF"/>
    <w:rsid w:val="00EF6F95"/>
    <w:rsid w:val="00EF78AF"/>
    <w:rsid w:val="00EF791F"/>
    <w:rsid w:val="00EF7DEC"/>
    <w:rsid w:val="00F009DE"/>
    <w:rsid w:val="00F00B2F"/>
    <w:rsid w:val="00F00F12"/>
    <w:rsid w:val="00F01851"/>
    <w:rsid w:val="00F018CC"/>
    <w:rsid w:val="00F01CE0"/>
    <w:rsid w:val="00F04FE5"/>
    <w:rsid w:val="00F05FA1"/>
    <w:rsid w:val="00F063C3"/>
    <w:rsid w:val="00F07809"/>
    <w:rsid w:val="00F07E6C"/>
    <w:rsid w:val="00F103BD"/>
    <w:rsid w:val="00F10BB1"/>
    <w:rsid w:val="00F130B4"/>
    <w:rsid w:val="00F13CBC"/>
    <w:rsid w:val="00F14163"/>
    <w:rsid w:val="00F20A04"/>
    <w:rsid w:val="00F20A18"/>
    <w:rsid w:val="00F217EB"/>
    <w:rsid w:val="00F21CE9"/>
    <w:rsid w:val="00F21EF2"/>
    <w:rsid w:val="00F22B1B"/>
    <w:rsid w:val="00F24609"/>
    <w:rsid w:val="00F24BA0"/>
    <w:rsid w:val="00F25938"/>
    <w:rsid w:val="00F25F75"/>
    <w:rsid w:val="00F27719"/>
    <w:rsid w:val="00F27D01"/>
    <w:rsid w:val="00F3041E"/>
    <w:rsid w:val="00F307A6"/>
    <w:rsid w:val="00F31165"/>
    <w:rsid w:val="00F31C71"/>
    <w:rsid w:val="00F3476E"/>
    <w:rsid w:val="00F349DB"/>
    <w:rsid w:val="00F350B7"/>
    <w:rsid w:val="00F3590F"/>
    <w:rsid w:val="00F35AD0"/>
    <w:rsid w:val="00F373B0"/>
    <w:rsid w:val="00F37E04"/>
    <w:rsid w:val="00F40D48"/>
    <w:rsid w:val="00F40F07"/>
    <w:rsid w:val="00F42403"/>
    <w:rsid w:val="00F42F07"/>
    <w:rsid w:val="00F4357F"/>
    <w:rsid w:val="00F43D00"/>
    <w:rsid w:val="00F443D9"/>
    <w:rsid w:val="00F44894"/>
    <w:rsid w:val="00F45672"/>
    <w:rsid w:val="00F4592B"/>
    <w:rsid w:val="00F45F4A"/>
    <w:rsid w:val="00F4632D"/>
    <w:rsid w:val="00F46C2D"/>
    <w:rsid w:val="00F46DA8"/>
    <w:rsid w:val="00F478F1"/>
    <w:rsid w:val="00F502E6"/>
    <w:rsid w:val="00F506D5"/>
    <w:rsid w:val="00F50A4F"/>
    <w:rsid w:val="00F5147F"/>
    <w:rsid w:val="00F51DD4"/>
    <w:rsid w:val="00F5265C"/>
    <w:rsid w:val="00F53510"/>
    <w:rsid w:val="00F53858"/>
    <w:rsid w:val="00F538E7"/>
    <w:rsid w:val="00F55E8B"/>
    <w:rsid w:val="00F56521"/>
    <w:rsid w:val="00F5663A"/>
    <w:rsid w:val="00F56FD4"/>
    <w:rsid w:val="00F5739B"/>
    <w:rsid w:val="00F57B21"/>
    <w:rsid w:val="00F57D0B"/>
    <w:rsid w:val="00F6286A"/>
    <w:rsid w:val="00F62B59"/>
    <w:rsid w:val="00F63069"/>
    <w:rsid w:val="00F64020"/>
    <w:rsid w:val="00F653D1"/>
    <w:rsid w:val="00F65BA6"/>
    <w:rsid w:val="00F65EB8"/>
    <w:rsid w:val="00F671D0"/>
    <w:rsid w:val="00F70964"/>
    <w:rsid w:val="00F725D7"/>
    <w:rsid w:val="00F727EF"/>
    <w:rsid w:val="00F728A6"/>
    <w:rsid w:val="00F74848"/>
    <w:rsid w:val="00F7497F"/>
    <w:rsid w:val="00F77C03"/>
    <w:rsid w:val="00F815F6"/>
    <w:rsid w:val="00F81CD5"/>
    <w:rsid w:val="00F81E3F"/>
    <w:rsid w:val="00F83160"/>
    <w:rsid w:val="00F83766"/>
    <w:rsid w:val="00F848C2"/>
    <w:rsid w:val="00F85CBA"/>
    <w:rsid w:val="00F860B9"/>
    <w:rsid w:val="00F86C7F"/>
    <w:rsid w:val="00F86F3D"/>
    <w:rsid w:val="00F87C5C"/>
    <w:rsid w:val="00F904ED"/>
    <w:rsid w:val="00F90AF8"/>
    <w:rsid w:val="00F90FC9"/>
    <w:rsid w:val="00F92036"/>
    <w:rsid w:val="00F9205A"/>
    <w:rsid w:val="00F93AF6"/>
    <w:rsid w:val="00F95456"/>
    <w:rsid w:val="00F9563D"/>
    <w:rsid w:val="00F9572A"/>
    <w:rsid w:val="00F95841"/>
    <w:rsid w:val="00F959BD"/>
    <w:rsid w:val="00F95A91"/>
    <w:rsid w:val="00F96276"/>
    <w:rsid w:val="00F968A1"/>
    <w:rsid w:val="00FA0EA3"/>
    <w:rsid w:val="00FA1017"/>
    <w:rsid w:val="00FA14EC"/>
    <w:rsid w:val="00FA196F"/>
    <w:rsid w:val="00FA1DA4"/>
    <w:rsid w:val="00FA345F"/>
    <w:rsid w:val="00FA49E7"/>
    <w:rsid w:val="00FA4B1F"/>
    <w:rsid w:val="00FA5084"/>
    <w:rsid w:val="00FA5B3C"/>
    <w:rsid w:val="00FA74C1"/>
    <w:rsid w:val="00FA7F26"/>
    <w:rsid w:val="00FB006A"/>
    <w:rsid w:val="00FB0373"/>
    <w:rsid w:val="00FB1231"/>
    <w:rsid w:val="00FB274F"/>
    <w:rsid w:val="00FB3993"/>
    <w:rsid w:val="00FB3CBB"/>
    <w:rsid w:val="00FB3CC5"/>
    <w:rsid w:val="00FB65D5"/>
    <w:rsid w:val="00FB6A4A"/>
    <w:rsid w:val="00FB77D8"/>
    <w:rsid w:val="00FC0AB9"/>
    <w:rsid w:val="00FC1B56"/>
    <w:rsid w:val="00FC2072"/>
    <w:rsid w:val="00FC3F14"/>
    <w:rsid w:val="00FC430C"/>
    <w:rsid w:val="00FC6276"/>
    <w:rsid w:val="00FC637E"/>
    <w:rsid w:val="00FC7188"/>
    <w:rsid w:val="00FC7253"/>
    <w:rsid w:val="00FC7B72"/>
    <w:rsid w:val="00FC7D69"/>
    <w:rsid w:val="00FD04BE"/>
    <w:rsid w:val="00FD0BDE"/>
    <w:rsid w:val="00FD0E61"/>
    <w:rsid w:val="00FD0FD7"/>
    <w:rsid w:val="00FD112D"/>
    <w:rsid w:val="00FD1FE7"/>
    <w:rsid w:val="00FD2022"/>
    <w:rsid w:val="00FD4034"/>
    <w:rsid w:val="00FD4BC8"/>
    <w:rsid w:val="00FD4C91"/>
    <w:rsid w:val="00FD5C76"/>
    <w:rsid w:val="00FD704C"/>
    <w:rsid w:val="00FE0ADC"/>
    <w:rsid w:val="00FE0D05"/>
    <w:rsid w:val="00FE1C17"/>
    <w:rsid w:val="00FE2DAD"/>
    <w:rsid w:val="00FE53B5"/>
    <w:rsid w:val="00FE785D"/>
    <w:rsid w:val="00FE7CC1"/>
    <w:rsid w:val="00FF0D57"/>
    <w:rsid w:val="00FF1428"/>
    <w:rsid w:val="00FF254D"/>
    <w:rsid w:val="00FF390C"/>
    <w:rsid w:val="00FF3FE1"/>
    <w:rsid w:val="00FF4070"/>
    <w:rsid w:val="00FF4660"/>
    <w:rsid w:val="00FF4A1D"/>
    <w:rsid w:val="00FF5B33"/>
    <w:rsid w:val="00FF5F65"/>
    <w:rsid w:val="00FF662B"/>
    <w:rsid w:val="00FF6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857016"/>
    <w:pPr>
      <w:widowControl w:val="0"/>
      <w:autoSpaceDE w:val="0"/>
      <w:autoSpaceDN w:val="0"/>
      <w:adjustRightInd w:val="0"/>
    </w:pPr>
    <w:rPr>
      <w:rFonts w:ascii="Times New Roman" w:hAnsi="Times New Roman"/>
      <w:sz w:val="24"/>
      <w:szCs w:val="24"/>
      <w:lang w:val="en-US" w:eastAsia="en-US"/>
    </w:rPr>
  </w:style>
  <w:style w:type="paragraph" w:styleId="1">
    <w:name w:val="heading 1"/>
    <w:basedOn w:val="a0"/>
    <w:next w:val="a0"/>
    <w:link w:val="10"/>
    <w:uiPriority w:val="1"/>
    <w:qFormat/>
    <w:rsid w:val="0025731C"/>
    <w:pPr>
      <w:ind w:left="118"/>
      <w:outlineLvl w:val="0"/>
    </w:pPr>
    <w:rPr>
      <w:b/>
      <w:bCs/>
      <w:sz w:val="28"/>
      <w:szCs w:val="28"/>
    </w:rPr>
  </w:style>
  <w:style w:type="paragraph" w:styleId="2">
    <w:name w:val="heading 2"/>
    <w:basedOn w:val="a0"/>
    <w:next w:val="a0"/>
    <w:link w:val="20"/>
    <w:uiPriority w:val="1"/>
    <w:qFormat/>
    <w:rsid w:val="0025731C"/>
    <w:pPr>
      <w:spacing w:before="2"/>
      <w:ind w:left="118"/>
      <w:outlineLvl w:val="1"/>
    </w:pPr>
    <w:rPr>
      <w:b/>
      <w:bCs/>
      <w:i/>
      <w:iCs/>
      <w:sz w:val="28"/>
      <w:szCs w:val="28"/>
    </w:rPr>
  </w:style>
  <w:style w:type="paragraph" w:styleId="3">
    <w:name w:val="heading 3"/>
    <w:basedOn w:val="a0"/>
    <w:next w:val="a0"/>
    <w:link w:val="30"/>
    <w:uiPriority w:val="9"/>
    <w:semiHidden/>
    <w:unhideWhenUsed/>
    <w:qFormat/>
    <w:rsid w:val="007D0546"/>
    <w:pPr>
      <w:keepNext/>
      <w:spacing w:before="240" w:after="60"/>
      <w:outlineLvl w:val="2"/>
    </w:pPr>
    <w:rPr>
      <w:rFonts w:ascii="Calibri Light" w:hAnsi="Calibri Light"/>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rsid w:val="002753BD"/>
    <w:pPr>
      <w:tabs>
        <w:tab w:val="left" w:pos="2652"/>
        <w:tab w:val="left" w:pos="4330"/>
        <w:tab w:val="left" w:pos="6183"/>
        <w:tab w:val="left" w:pos="8086"/>
      </w:tabs>
      <w:kinsoku w:val="0"/>
      <w:overflowPunct w:val="0"/>
      <w:spacing w:before="53" w:line="247" w:lineRule="auto"/>
      <w:ind w:left="118" w:right="105"/>
    </w:pPr>
    <w:rPr>
      <w:spacing w:val="1"/>
      <w:w w:val="105"/>
      <w:lang w:val="ru-RU"/>
    </w:rPr>
  </w:style>
  <w:style w:type="character" w:customStyle="1" w:styleId="a5">
    <w:name w:val="Основной текст Знак"/>
    <w:link w:val="a4"/>
    <w:uiPriority w:val="1"/>
    <w:rsid w:val="002753BD"/>
    <w:rPr>
      <w:rFonts w:ascii="Times New Roman" w:hAnsi="Times New Roman" w:cs="Times New Roman"/>
      <w:spacing w:val="1"/>
      <w:w w:val="105"/>
      <w:sz w:val="24"/>
      <w:szCs w:val="24"/>
      <w:lang w:val="ru-RU"/>
    </w:rPr>
  </w:style>
  <w:style w:type="character" w:customStyle="1" w:styleId="10">
    <w:name w:val="Заголовок 1 Знак"/>
    <w:link w:val="1"/>
    <w:uiPriority w:val="9"/>
    <w:rsid w:val="0025731C"/>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25731C"/>
    <w:rPr>
      <w:rFonts w:ascii="Cambria" w:eastAsia="Times New Roman" w:hAnsi="Cambria" w:cs="Times New Roman"/>
      <w:b/>
      <w:bCs/>
      <w:i/>
      <w:iCs/>
      <w:sz w:val="28"/>
      <w:szCs w:val="28"/>
    </w:rPr>
  </w:style>
  <w:style w:type="paragraph" w:styleId="a6">
    <w:name w:val="List Paragraph"/>
    <w:basedOn w:val="a0"/>
    <w:uiPriority w:val="34"/>
    <w:qFormat/>
    <w:rsid w:val="0025731C"/>
  </w:style>
  <w:style w:type="paragraph" w:customStyle="1" w:styleId="TableParagraph">
    <w:name w:val="Table Paragraph"/>
    <w:basedOn w:val="a0"/>
    <w:uiPriority w:val="1"/>
    <w:qFormat/>
    <w:rsid w:val="0025731C"/>
  </w:style>
  <w:style w:type="paragraph" w:styleId="a7">
    <w:name w:val="No Spacing"/>
    <w:uiPriority w:val="1"/>
    <w:qFormat/>
    <w:rsid w:val="00C66969"/>
    <w:rPr>
      <w:sz w:val="22"/>
      <w:szCs w:val="22"/>
    </w:rPr>
  </w:style>
  <w:style w:type="paragraph" w:styleId="a8">
    <w:name w:val="header"/>
    <w:basedOn w:val="a0"/>
    <w:link w:val="a9"/>
    <w:uiPriority w:val="99"/>
    <w:unhideWhenUsed/>
    <w:rsid w:val="005B52ED"/>
    <w:pPr>
      <w:tabs>
        <w:tab w:val="center" w:pos="4844"/>
        <w:tab w:val="right" w:pos="9689"/>
      </w:tabs>
    </w:pPr>
  </w:style>
  <w:style w:type="character" w:customStyle="1" w:styleId="a9">
    <w:name w:val="Верхний колонтитул Знак"/>
    <w:link w:val="a8"/>
    <w:uiPriority w:val="99"/>
    <w:rsid w:val="005B52ED"/>
    <w:rPr>
      <w:rFonts w:ascii="Times New Roman" w:hAnsi="Times New Roman" w:cs="Times New Roman"/>
      <w:sz w:val="24"/>
      <w:szCs w:val="24"/>
    </w:rPr>
  </w:style>
  <w:style w:type="paragraph" w:styleId="aa">
    <w:name w:val="footer"/>
    <w:basedOn w:val="a0"/>
    <w:link w:val="ab"/>
    <w:uiPriority w:val="99"/>
    <w:unhideWhenUsed/>
    <w:rsid w:val="005B52ED"/>
    <w:pPr>
      <w:tabs>
        <w:tab w:val="center" w:pos="4844"/>
        <w:tab w:val="right" w:pos="9689"/>
      </w:tabs>
    </w:pPr>
  </w:style>
  <w:style w:type="character" w:customStyle="1" w:styleId="ab">
    <w:name w:val="Нижний колонтитул Знак"/>
    <w:link w:val="aa"/>
    <w:uiPriority w:val="99"/>
    <w:rsid w:val="005B52ED"/>
    <w:rPr>
      <w:rFonts w:ascii="Times New Roman" w:hAnsi="Times New Roman" w:cs="Times New Roman"/>
      <w:sz w:val="24"/>
      <w:szCs w:val="24"/>
    </w:rPr>
  </w:style>
  <w:style w:type="paragraph" w:styleId="ac">
    <w:name w:val="Normal (Web)"/>
    <w:basedOn w:val="a0"/>
    <w:uiPriority w:val="99"/>
    <w:unhideWhenUsed/>
    <w:rsid w:val="0026645F"/>
    <w:pPr>
      <w:widowControl/>
      <w:autoSpaceDE/>
      <w:autoSpaceDN/>
      <w:adjustRightInd/>
      <w:spacing w:before="100" w:beforeAutospacing="1" w:after="100" w:afterAutospacing="1"/>
    </w:pPr>
  </w:style>
  <w:style w:type="character" w:customStyle="1" w:styleId="5Sylfaen0">
    <w:name w:val="Основной текст (5) + Sylfaen_0"/>
    <w:rsid w:val="00E15895"/>
    <w:rPr>
      <w:rFonts w:ascii="Sylfaen" w:eastAsia="Sylfaen" w:hAnsi="Sylfaen" w:cs="Sylfaen"/>
      <w:b/>
      <w:bCs/>
      <w:i w:val="0"/>
      <w:iCs w:val="0"/>
      <w:smallCaps w:val="0"/>
      <w:strike w:val="0"/>
      <w:color w:val="000000"/>
      <w:spacing w:val="0"/>
      <w:w w:val="100"/>
      <w:position w:val="0"/>
      <w:sz w:val="22"/>
      <w:szCs w:val="22"/>
      <w:u w:val="none"/>
      <w:lang w:val="en-US" w:eastAsia="en-US" w:bidi="en-US"/>
    </w:rPr>
  </w:style>
  <w:style w:type="table" w:styleId="ad">
    <w:name w:val="Table Grid"/>
    <w:basedOn w:val="a2"/>
    <w:uiPriority w:val="59"/>
    <w:rsid w:val="00282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Основной текст (18)_"/>
    <w:link w:val="180"/>
    <w:rsid w:val="00282FBE"/>
    <w:rPr>
      <w:rFonts w:ascii="Times New Roman" w:hAnsi="Times New Roman"/>
      <w:sz w:val="22"/>
      <w:szCs w:val="22"/>
      <w:shd w:val="clear" w:color="auto" w:fill="FFFFFF"/>
    </w:rPr>
  </w:style>
  <w:style w:type="character" w:customStyle="1" w:styleId="18Sylfaen">
    <w:name w:val="Основной текст (18) + Sylfaen;Полужирный"/>
    <w:rsid w:val="00282FBE"/>
    <w:rPr>
      <w:rFonts w:ascii="Sylfaen" w:eastAsia="Sylfaen" w:hAnsi="Sylfaen" w:cs="Sylfaen"/>
      <w:b/>
      <w:bCs/>
      <w:color w:val="000000"/>
      <w:spacing w:val="0"/>
      <w:w w:val="100"/>
      <w:position w:val="0"/>
      <w:sz w:val="22"/>
      <w:szCs w:val="22"/>
      <w:shd w:val="clear" w:color="auto" w:fill="FFFFFF"/>
      <w:lang w:val="en-US" w:eastAsia="en-US" w:bidi="en-US"/>
    </w:rPr>
  </w:style>
  <w:style w:type="paragraph" w:customStyle="1" w:styleId="180">
    <w:name w:val="Основной текст (18)"/>
    <w:basedOn w:val="a0"/>
    <w:link w:val="18"/>
    <w:rsid w:val="00282FBE"/>
    <w:pPr>
      <w:shd w:val="clear" w:color="auto" w:fill="FFFFFF"/>
      <w:autoSpaceDE/>
      <w:autoSpaceDN/>
      <w:adjustRightInd/>
      <w:spacing w:after="480" w:line="254" w:lineRule="exact"/>
      <w:jc w:val="both"/>
    </w:pPr>
    <w:rPr>
      <w:sz w:val="22"/>
      <w:szCs w:val="22"/>
      <w:lang w:val="ru-RU" w:eastAsia="zh-CN"/>
    </w:rPr>
  </w:style>
  <w:style w:type="character" w:customStyle="1" w:styleId="6">
    <w:name w:val="Подпись к таблице (6)_"/>
    <w:link w:val="60"/>
    <w:rsid w:val="00901324"/>
    <w:rPr>
      <w:rFonts w:ascii="Sylfaen" w:eastAsia="Sylfaen" w:hAnsi="Sylfaen" w:cs="Sylfaen"/>
      <w:sz w:val="18"/>
      <w:szCs w:val="18"/>
      <w:shd w:val="clear" w:color="auto" w:fill="FFFFFF"/>
    </w:rPr>
  </w:style>
  <w:style w:type="paragraph" w:customStyle="1" w:styleId="60">
    <w:name w:val="Подпись к таблице (6)"/>
    <w:basedOn w:val="a0"/>
    <w:link w:val="6"/>
    <w:rsid w:val="00901324"/>
    <w:pPr>
      <w:shd w:val="clear" w:color="auto" w:fill="FFFFFF"/>
      <w:autoSpaceDE/>
      <w:autoSpaceDN/>
      <w:adjustRightInd/>
      <w:spacing w:line="230" w:lineRule="exact"/>
    </w:pPr>
    <w:rPr>
      <w:rFonts w:ascii="Sylfaen" w:eastAsia="Sylfaen" w:hAnsi="Sylfaen" w:cs="Sylfaen"/>
      <w:sz w:val="18"/>
      <w:szCs w:val="18"/>
      <w:lang w:val="ru-RU" w:eastAsia="zh-CN"/>
    </w:rPr>
  </w:style>
  <w:style w:type="character" w:styleId="ae">
    <w:name w:val="annotation reference"/>
    <w:uiPriority w:val="99"/>
    <w:semiHidden/>
    <w:unhideWhenUsed/>
    <w:rsid w:val="00F93AF6"/>
    <w:rPr>
      <w:sz w:val="16"/>
      <w:szCs w:val="16"/>
    </w:rPr>
  </w:style>
  <w:style w:type="paragraph" w:styleId="af">
    <w:name w:val="annotation text"/>
    <w:basedOn w:val="a0"/>
    <w:link w:val="af0"/>
    <w:uiPriority w:val="99"/>
    <w:semiHidden/>
    <w:unhideWhenUsed/>
    <w:rsid w:val="00F93AF6"/>
    <w:rPr>
      <w:sz w:val="20"/>
      <w:szCs w:val="20"/>
    </w:rPr>
  </w:style>
  <w:style w:type="character" w:customStyle="1" w:styleId="af0">
    <w:name w:val="Текст примечания Знак"/>
    <w:link w:val="af"/>
    <w:uiPriority w:val="99"/>
    <w:semiHidden/>
    <w:rsid w:val="00F93AF6"/>
    <w:rPr>
      <w:rFonts w:ascii="Times New Roman" w:hAnsi="Times New Roman"/>
      <w:lang w:val="en-US" w:eastAsia="en-US"/>
    </w:rPr>
  </w:style>
  <w:style w:type="paragraph" w:styleId="af1">
    <w:name w:val="annotation subject"/>
    <w:basedOn w:val="af"/>
    <w:next w:val="af"/>
    <w:link w:val="af2"/>
    <w:uiPriority w:val="99"/>
    <w:semiHidden/>
    <w:unhideWhenUsed/>
    <w:rsid w:val="00F93AF6"/>
    <w:rPr>
      <w:b/>
      <w:bCs/>
    </w:rPr>
  </w:style>
  <w:style w:type="character" w:customStyle="1" w:styleId="af2">
    <w:name w:val="Тема примечания Знак"/>
    <w:link w:val="af1"/>
    <w:uiPriority w:val="99"/>
    <w:semiHidden/>
    <w:rsid w:val="00F93AF6"/>
    <w:rPr>
      <w:rFonts w:ascii="Times New Roman" w:hAnsi="Times New Roman"/>
      <w:b/>
      <w:bCs/>
      <w:lang w:val="en-US" w:eastAsia="en-US"/>
    </w:rPr>
  </w:style>
  <w:style w:type="paragraph" w:styleId="af3">
    <w:name w:val="Balloon Text"/>
    <w:basedOn w:val="a0"/>
    <w:link w:val="af4"/>
    <w:uiPriority w:val="99"/>
    <w:semiHidden/>
    <w:unhideWhenUsed/>
    <w:rsid w:val="00F93AF6"/>
    <w:rPr>
      <w:rFonts w:ascii="Segoe UI" w:hAnsi="Segoe UI" w:cs="Segoe UI"/>
      <w:sz w:val="18"/>
      <w:szCs w:val="18"/>
    </w:rPr>
  </w:style>
  <w:style w:type="character" w:customStyle="1" w:styleId="af4">
    <w:name w:val="Текст выноски Знак"/>
    <w:link w:val="af3"/>
    <w:uiPriority w:val="99"/>
    <w:semiHidden/>
    <w:rsid w:val="00F93AF6"/>
    <w:rPr>
      <w:rFonts w:ascii="Segoe UI" w:hAnsi="Segoe UI" w:cs="Segoe UI"/>
      <w:sz w:val="18"/>
      <w:szCs w:val="18"/>
      <w:lang w:val="en-US" w:eastAsia="en-US"/>
    </w:rPr>
  </w:style>
  <w:style w:type="paragraph" w:customStyle="1" w:styleId="Default">
    <w:name w:val="Default"/>
    <w:rsid w:val="001525D5"/>
    <w:pPr>
      <w:autoSpaceDE w:val="0"/>
      <w:autoSpaceDN w:val="0"/>
      <w:adjustRightInd w:val="0"/>
    </w:pPr>
    <w:rPr>
      <w:rFonts w:ascii="Times New Roman" w:hAnsi="Times New Roman"/>
      <w:color w:val="000000"/>
      <w:sz w:val="24"/>
      <w:szCs w:val="24"/>
      <w:lang w:eastAsia="zh-CN"/>
    </w:rPr>
  </w:style>
  <w:style w:type="character" w:customStyle="1" w:styleId="21">
    <w:name w:val="Основной текст (2)_"/>
    <w:link w:val="22"/>
    <w:locked/>
    <w:rsid w:val="005062E9"/>
    <w:rPr>
      <w:rFonts w:ascii="Times New Roman" w:hAnsi="Times New Roman"/>
      <w:shd w:val="clear" w:color="auto" w:fill="FFFFFF"/>
    </w:rPr>
  </w:style>
  <w:style w:type="paragraph" w:customStyle="1" w:styleId="22">
    <w:name w:val="Основной текст (2)"/>
    <w:basedOn w:val="a0"/>
    <w:link w:val="21"/>
    <w:rsid w:val="005062E9"/>
    <w:pPr>
      <w:shd w:val="clear" w:color="auto" w:fill="FFFFFF"/>
      <w:autoSpaceDE/>
      <w:autoSpaceDN/>
      <w:adjustRightInd/>
      <w:spacing w:line="0" w:lineRule="atLeast"/>
      <w:ind w:hanging="660"/>
    </w:pPr>
    <w:rPr>
      <w:sz w:val="20"/>
      <w:szCs w:val="20"/>
      <w:lang w:val="ru-RU" w:eastAsia="zh-CN"/>
    </w:rPr>
  </w:style>
  <w:style w:type="character" w:customStyle="1" w:styleId="211pt">
    <w:name w:val="Основной текст (2) + 11 pt"/>
    <w:rsid w:val="005062E9"/>
    <w:rPr>
      <w:rFonts w:ascii="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eastAsia="en-US" w:bidi="en-US"/>
    </w:rPr>
  </w:style>
  <w:style w:type="character" w:customStyle="1" w:styleId="29pt">
    <w:name w:val="Основной текст (2) + 9 pt"/>
    <w:rsid w:val="00AE0721"/>
    <w:rPr>
      <w:rFonts w:ascii="Times New Roman" w:eastAsia="Times New Roman" w:hAnsi="Times New Roman" w:cs="Times New Roman"/>
      <w:color w:val="000000"/>
      <w:spacing w:val="0"/>
      <w:w w:val="100"/>
      <w:position w:val="0"/>
      <w:sz w:val="18"/>
      <w:szCs w:val="18"/>
      <w:shd w:val="clear" w:color="auto" w:fill="FFFFFF"/>
      <w:lang w:val="en-US" w:eastAsia="en-US" w:bidi="en-US"/>
    </w:rPr>
  </w:style>
  <w:style w:type="character" w:customStyle="1" w:styleId="295pt">
    <w:name w:val="Основной текст (2) + 9;5 pt;Курсив"/>
    <w:rsid w:val="00AE072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0">
    <w:name w:val="Основной текст (2) + 9;5 pt"/>
    <w:rsid w:val="00874D2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28pt">
    <w:name w:val="Основной текст (2) + 8 pt"/>
    <w:rsid w:val="00874D2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en-US" w:eastAsia="en-US" w:bidi="en-US"/>
    </w:rPr>
  </w:style>
  <w:style w:type="character" w:styleId="af5">
    <w:name w:val="Hyperlink"/>
    <w:uiPriority w:val="99"/>
    <w:unhideWhenUsed/>
    <w:rsid w:val="00C32A4C"/>
    <w:rPr>
      <w:color w:val="0563C1"/>
      <w:u w:val="single"/>
    </w:rPr>
  </w:style>
  <w:style w:type="paragraph" w:customStyle="1" w:styleId="Style5">
    <w:name w:val="Style5"/>
    <w:basedOn w:val="a0"/>
    <w:uiPriority w:val="99"/>
    <w:rsid w:val="006B29B5"/>
    <w:pPr>
      <w:spacing w:line="274" w:lineRule="exact"/>
      <w:jc w:val="both"/>
    </w:pPr>
    <w:rPr>
      <w:lang w:val="ru-RU" w:eastAsia="ru-RU"/>
    </w:rPr>
  </w:style>
  <w:style w:type="paragraph" w:styleId="af6">
    <w:name w:val="footnote text"/>
    <w:basedOn w:val="a0"/>
    <w:link w:val="af7"/>
    <w:uiPriority w:val="99"/>
    <w:semiHidden/>
    <w:unhideWhenUsed/>
    <w:rsid w:val="00D8518E"/>
    <w:rPr>
      <w:sz w:val="20"/>
      <w:szCs w:val="20"/>
    </w:rPr>
  </w:style>
  <w:style w:type="character" w:customStyle="1" w:styleId="af7">
    <w:name w:val="Текст сноски Знак"/>
    <w:link w:val="af6"/>
    <w:uiPriority w:val="99"/>
    <w:semiHidden/>
    <w:rsid w:val="00D8518E"/>
    <w:rPr>
      <w:rFonts w:ascii="Times New Roman" w:hAnsi="Times New Roman"/>
      <w:lang w:val="en-US" w:eastAsia="en-US"/>
    </w:rPr>
  </w:style>
  <w:style w:type="character" w:styleId="af8">
    <w:name w:val="footnote reference"/>
    <w:uiPriority w:val="99"/>
    <w:semiHidden/>
    <w:unhideWhenUsed/>
    <w:rsid w:val="00D8518E"/>
    <w:rPr>
      <w:vertAlign w:val="superscript"/>
    </w:rPr>
  </w:style>
  <w:style w:type="paragraph" w:styleId="af9">
    <w:name w:val="Revision"/>
    <w:hidden/>
    <w:uiPriority w:val="99"/>
    <w:semiHidden/>
    <w:rsid w:val="00CA466A"/>
    <w:rPr>
      <w:rFonts w:ascii="Times New Roman" w:hAnsi="Times New Roman"/>
      <w:sz w:val="24"/>
      <w:szCs w:val="24"/>
      <w:lang w:val="en-US" w:eastAsia="en-US"/>
    </w:rPr>
  </w:style>
  <w:style w:type="character" w:customStyle="1" w:styleId="apple-converted-space">
    <w:name w:val="apple-converted-space"/>
    <w:rsid w:val="00EB0D67"/>
  </w:style>
  <w:style w:type="character" w:customStyle="1" w:styleId="30">
    <w:name w:val="Заголовок 3 Знак"/>
    <w:link w:val="3"/>
    <w:uiPriority w:val="9"/>
    <w:semiHidden/>
    <w:rsid w:val="007D0546"/>
    <w:rPr>
      <w:rFonts w:ascii="Calibri Light" w:eastAsia="Times New Roman" w:hAnsi="Calibri Light" w:cs="Times New Roman"/>
      <w:b/>
      <w:bCs/>
      <w:sz w:val="26"/>
      <w:szCs w:val="26"/>
      <w:lang w:val="en-US" w:eastAsia="en-US"/>
    </w:rPr>
  </w:style>
  <w:style w:type="character" w:customStyle="1" w:styleId="afa">
    <w:name w:val="Основной текст + Полужирный"/>
    <w:rsid w:val="00697D19"/>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7">
    <w:name w:val="Основной текст7"/>
    <w:rsid w:val="00697D19"/>
    <w:rPr>
      <w:rFonts w:ascii="Times New Roman" w:eastAsia="Times New Roman" w:hAnsi="Times New Roman" w:cs="Times New Roman"/>
      <w:b w:val="0"/>
      <w:bCs w:val="0"/>
      <w:i w:val="0"/>
      <w:iCs w:val="0"/>
      <w:smallCaps w:val="0"/>
      <w:strike w:val="0"/>
      <w:spacing w:val="10"/>
      <w:sz w:val="18"/>
      <w:szCs w:val="18"/>
      <w:u w:val="single"/>
      <w:shd w:val="clear" w:color="auto" w:fill="FFFFFF"/>
    </w:rPr>
  </w:style>
  <w:style w:type="character" w:customStyle="1" w:styleId="8">
    <w:name w:val="Основной текст8"/>
    <w:rsid w:val="00697D19"/>
    <w:rPr>
      <w:rFonts w:ascii="Times New Roman" w:eastAsia="Times New Roman" w:hAnsi="Times New Roman" w:cs="Times New Roman"/>
      <w:b w:val="0"/>
      <w:bCs w:val="0"/>
      <w:i w:val="0"/>
      <w:iCs w:val="0"/>
      <w:smallCaps w:val="0"/>
      <w:strike w:val="0"/>
      <w:spacing w:val="10"/>
      <w:sz w:val="18"/>
      <w:szCs w:val="18"/>
      <w:u w:val="single"/>
      <w:shd w:val="clear" w:color="auto" w:fill="FFFFFF"/>
    </w:rPr>
  </w:style>
  <w:style w:type="paragraph" w:customStyle="1" w:styleId="24">
    <w:name w:val="Основной текст (2)_4"/>
    <w:basedOn w:val="a0"/>
    <w:rsid w:val="00697D19"/>
    <w:pPr>
      <w:shd w:val="clear" w:color="auto" w:fill="FFFFFF"/>
      <w:autoSpaceDE/>
      <w:autoSpaceDN/>
      <w:adjustRightInd/>
      <w:spacing w:line="0" w:lineRule="atLeast"/>
      <w:ind w:hanging="580"/>
      <w:jc w:val="both"/>
    </w:pPr>
    <w:rPr>
      <w:color w:val="000000"/>
      <w:sz w:val="22"/>
      <w:szCs w:val="22"/>
      <w:lang w:bidi="en-US"/>
    </w:rPr>
  </w:style>
  <w:style w:type="character" w:styleId="afb">
    <w:name w:val="Emphasis"/>
    <w:uiPriority w:val="20"/>
    <w:qFormat/>
    <w:rsid w:val="00697D19"/>
    <w:rPr>
      <w:i/>
      <w:iCs/>
    </w:rPr>
  </w:style>
  <w:style w:type="paragraph" w:customStyle="1" w:styleId="TextTi12">
    <w:name w:val="Text:Ti12"/>
    <w:basedOn w:val="a0"/>
    <w:link w:val="TextTi12Char"/>
    <w:rsid w:val="00697D19"/>
    <w:pPr>
      <w:widowControl/>
      <w:autoSpaceDE/>
      <w:autoSpaceDN/>
      <w:adjustRightInd/>
      <w:spacing w:after="170" w:line="280" w:lineRule="atLeast"/>
      <w:jc w:val="both"/>
    </w:pPr>
    <w:rPr>
      <w:lang w:eastAsia="de-DE"/>
    </w:rPr>
  </w:style>
  <w:style w:type="character" w:customStyle="1" w:styleId="TextTi12Char">
    <w:name w:val="Text:Ti12 Char"/>
    <w:link w:val="TextTi12"/>
    <w:rsid w:val="00697D19"/>
    <w:rPr>
      <w:rFonts w:ascii="Times New Roman" w:hAnsi="Times New Roman"/>
      <w:sz w:val="24"/>
      <w:szCs w:val="24"/>
      <w:lang w:eastAsia="de-DE"/>
    </w:rPr>
  </w:style>
  <w:style w:type="paragraph" w:styleId="a">
    <w:name w:val="List Bullet"/>
    <w:basedOn w:val="a0"/>
    <w:link w:val="afc"/>
    <w:rsid w:val="00697D19"/>
    <w:pPr>
      <w:widowControl/>
      <w:numPr>
        <w:numId w:val="3"/>
      </w:numPr>
      <w:autoSpaceDE/>
      <w:autoSpaceDN/>
      <w:adjustRightInd/>
      <w:spacing w:after="100" w:line="280" w:lineRule="atLeast"/>
    </w:pPr>
    <w:rPr>
      <w:rFonts w:ascii="Arial" w:eastAsia="SimSun" w:hAnsi="Arial"/>
      <w:sz w:val="22"/>
      <w:lang w:eastAsia="zh-CN"/>
    </w:rPr>
  </w:style>
  <w:style w:type="character" w:customStyle="1" w:styleId="afc">
    <w:name w:val="Маркированный список Знак"/>
    <w:link w:val="a"/>
    <w:locked/>
    <w:rsid w:val="00697D19"/>
    <w:rPr>
      <w:rFonts w:ascii="Arial" w:eastAsia="SimSun" w:hAnsi="Arial"/>
      <w:sz w:val="22"/>
      <w:szCs w:val="24"/>
      <w:lang w:eastAsia="zh-CN"/>
    </w:rPr>
  </w:style>
  <w:style w:type="character" w:styleId="afd">
    <w:name w:val="Strong"/>
    <w:qFormat/>
    <w:rsid w:val="00697D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dda.kz" TargetMode="External"/><Relationship Id="rId4" Type="http://schemas.microsoft.com/office/2007/relationships/stylesWithEffects" Target="stylesWithEffects.xml"/><Relationship Id="rId9" Type="http://schemas.openxmlformats.org/officeDocument/2006/relationships/hyperlink" Target="http://www.ndda.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F154-85D3-4CD5-9A3F-0BC9B14A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33</Pages>
  <Words>13941</Words>
  <Characters>79470</Characters>
  <Application>Microsoft Office Word</Application>
  <DocSecurity>0</DocSecurity>
  <Lines>662</Lines>
  <Paragraphs>186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УТВЕРЖДЕНА</vt:lpstr>
      <vt:lpstr>УТВЕРЖДЕНА</vt:lpstr>
    </vt:vector>
  </TitlesOfParts>
  <Company>F. Hoffmann-La Roche, Ltd.</Company>
  <LinksUpToDate>false</LinksUpToDate>
  <CharactersWithSpaces>93225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Pharma International</dc:creator>
  <cp:lastModifiedBy>Алтын К. Сонгибаева</cp:lastModifiedBy>
  <cp:revision>137</cp:revision>
  <dcterms:created xsi:type="dcterms:W3CDTF">2022-09-25T14:08:00Z</dcterms:created>
  <dcterms:modified xsi:type="dcterms:W3CDTF">2022-12-21T11:00:00Z</dcterms:modified>
</cp:coreProperties>
</file>